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44"/>
          <w:szCs w:val="44"/>
          <w:lang w:eastAsia="zh-CN"/>
        </w:rPr>
      </w:pPr>
      <w:r>
        <w:rPr>
          <w:rFonts w:hint="eastAsia"/>
          <w:sz w:val="44"/>
          <w:szCs w:val="44"/>
          <w:lang w:eastAsia="zh-CN"/>
        </w:rPr>
        <w:t>上饶市</w:t>
      </w:r>
      <w:r>
        <w:rPr>
          <w:rFonts w:hint="eastAsia"/>
          <w:sz w:val="44"/>
          <w:szCs w:val="44"/>
          <w:lang w:val="en-US" w:eastAsia="zh-CN"/>
        </w:rPr>
        <w:t>因</w:t>
      </w:r>
      <w:r>
        <w:rPr>
          <w:rFonts w:hint="eastAsia" w:eastAsiaTheme="minorEastAsia"/>
          <w:sz w:val="44"/>
          <w:szCs w:val="44"/>
          <w:lang w:eastAsia="zh-CN"/>
        </w:rPr>
        <w:t>新型冠状病毒肺炎疫情防控疫苗迟种补种</w:t>
      </w:r>
      <w:r>
        <w:rPr>
          <w:rFonts w:hint="eastAsia"/>
          <w:sz w:val="44"/>
          <w:szCs w:val="44"/>
          <w:lang w:eastAsia="zh-CN"/>
        </w:rPr>
        <w:t>督导</w:t>
      </w:r>
      <w:r>
        <w:rPr>
          <w:rFonts w:hint="eastAsia" w:eastAsiaTheme="minorEastAsia"/>
          <w:sz w:val="44"/>
          <w:szCs w:val="44"/>
          <w:lang w:eastAsia="zh-CN"/>
        </w:rPr>
        <w:t>评估报告</w:t>
      </w:r>
    </w:p>
    <w:p>
      <w:pPr>
        <w:jc w:val="center"/>
        <w:rPr>
          <w:rFonts w:hint="eastAsia" w:eastAsiaTheme="minorEastAsia"/>
          <w:sz w:val="44"/>
          <w:szCs w:val="44"/>
          <w:lang w:eastAsia="zh-CN"/>
        </w:rPr>
      </w:pPr>
    </w:p>
    <w:p>
      <w:pPr>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为了解新型冠状病毒肺炎疫情对我市预防接种工作的影响，评估我市疫苗迟种补种工作完成情况和接种率水平，根据江西省疾控中心《关于转发中国疾病预防控制中心关于印发因新型冠状病毒肺炎疫情防控疫苗迟种补种技术方案的通知》（赣疾控免规函[2020]5 号）和《关于开展上饶市</w:t>
      </w:r>
      <w:r>
        <w:rPr>
          <w:rFonts w:hint="eastAsia" w:ascii="仿宋" w:hAnsi="仿宋" w:eastAsia="仿宋" w:cs="仿宋"/>
          <w:b w:val="0"/>
          <w:bCs w:val="0"/>
          <w:sz w:val="28"/>
          <w:szCs w:val="28"/>
          <w:lang w:val="en-US" w:eastAsia="zh-CN"/>
        </w:rPr>
        <w:t>2020年因新冠</w:t>
      </w:r>
      <w:r>
        <w:rPr>
          <w:rFonts w:hint="eastAsia" w:ascii="仿宋" w:hAnsi="仿宋" w:eastAsia="仿宋" w:cs="仿宋"/>
          <w:b w:val="0"/>
          <w:bCs w:val="0"/>
          <w:sz w:val="28"/>
          <w:szCs w:val="28"/>
          <w:lang w:eastAsia="zh-CN"/>
        </w:rPr>
        <w:t>型疫情防控疫苗迟种补种工作督导评估的函》（饶疾控便函字[2020]</w:t>
      </w:r>
      <w:r>
        <w:rPr>
          <w:rFonts w:hint="eastAsia" w:ascii="仿宋" w:hAnsi="仿宋" w:eastAsia="仿宋" w:cs="仿宋"/>
          <w:b w:val="0"/>
          <w:bCs w:val="0"/>
          <w:sz w:val="28"/>
          <w:szCs w:val="28"/>
          <w:lang w:val="en-US" w:eastAsia="zh-CN"/>
        </w:rPr>
        <w:t>2</w:t>
      </w:r>
      <w:r>
        <w:rPr>
          <w:rFonts w:hint="eastAsia" w:ascii="仿宋" w:hAnsi="仿宋" w:eastAsia="仿宋" w:cs="仿宋"/>
          <w:b w:val="0"/>
          <w:bCs w:val="0"/>
          <w:sz w:val="28"/>
          <w:szCs w:val="28"/>
          <w:lang w:eastAsia="zh-CN"/>
        </w:rPr>
        <w:t>号）工作要求，我中心于</w:t>
      </w:r>
      <w:r>
        <w:rPr>
          <w:rFonts w:hint="eastAsia" w:ascii="仿宋" w:hAnsi="仿宋" w:eastAsia="仿宋" w:cs="仿宋"/>
          <w:b w:val="0"/>
          <w:bCs w:val="0"/>
          <w:sz w:val="28"/>
          <w:szCs w:val="28"/>
          <w:lang w:val="en-US" w:eastAsia="zh-CN"/>
        </w:rPr>
        <w:t>8</w:t>
      </w:r>
      <w:r>
        <w:rPr>
          <w:rFonts w:hint="eastAsia" w:ascii="仿宋" w:hAnsi="仿宋" w:eastAsia="仿宋" w:cs="仿宋"/>
          <w:b w:val="0"/>
          <w:bCs w:val="0"/>
          <w:sz w:val="28"/>
          <w:szCs w:val="28"/>
          <w:lang w:eastAsia="zh-CN"/>
        </w:rPr>
        <w:t>月</w:t>
      </w:r>
      <w:r>
        <w:rPr>
          <w:rFonts w:hint="eastAsia" w:ascii="仿宋" w:hAnsi="仿宋" w:eastAsia="仿宋" w:cs="仿宋"/>
          <w:b w:val="0"/>
          <w:bCs w:val="0"/>
          <w:sz w:val="28"/>
          <w:szCs w:val="28"/>
          <w:lang w:val="en-US" w:eastAsia="zh-CN"/>
        </w:rPr>
        <w:t>24</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26</w:t>
      </w:r>
      <w:r>
        <w:rPr>
          <w:rFonts w:hint="eastAsia" w:ascii="仿宋" w:hAnsi="仿宋" w:eastAsia="仿宋" w:cs="仿宋"/>
          <w:b w:val="0"/>
          <w:bCs w:val="0"/>
          <w:sz w:val="28"/>
          <w:szCs w:val="28"/>
          <w:lang w:eastAsia="zh-CN"/>
        </w:rPr>
        <w:t>日组织开展疫苗迟种补种评估工作，现就有关情况总结如下：</w:t>
      </w:r>
    </w:p>
    <w:p>
      <w:pPr>
        <w:numPr>
          <w:ilvl w:val="0"/>
          <w:numId w:val="1"/>
        </w:numPr>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督导评估地区</w:t>
      </w:r>
    </w:p>
    <w:p>
      <w:pPr>
        <w:numPr>
          <w:ilvl w:val="0"/>
          <w:numId w:val="0"/>
        </w:numPr>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全市抽查了德兴和万年县，</w:t>
      </w:r>
      <w:r>
        <w:rPr>
          <w:rFonts w:hint="eastAsia" w:ascii="仿宋" w:hAnsi="仿宋" w:eastAsia="仿宋" w:cs="仿宋"/>
          <w:b w:val="0"/>
          <w:bCs w:val="0"/>
          <w:sz w:val="28"/>
          <w:szCs w:val="28"/>
          <w:lang w:val="en-US" w:eastAsia="zh-CN"/>
        </w:rPr>
        <w:t>每个</w:t>
      </w:r>
      <w:r>
        <w:rPr>
          <w:rFonts w:hint="eastAsia" w:ascii="仿宋" w:hAnsi="仿宋" w:eastAsia="仿宋" w:cs="仿宋"/>
          <w:b w:val="0"/>
          <w:bCs w:val="0"/>
          <w:sz w:val="28"/>
          <w:szCs w:val="28"/>
        </w:rPr>
        <w:t>县</w:t>
      </w:r>
      <w:r>
        <w:rPr>
          <w:rFonts w:hint="eastAsia" w:ascii="仿宋" w:hAnsi="仿宋" w:eastAsia="仿宋" w:cs="仿宋"/>
          <w:b w:val="0"/>
          <w:bCs w:val="0"/>
          <w:sz w:val="28"/>
          <w:szCs w:val="28"/>
          <w:lang w:val="en-US" w:eastAsia="zh-CN"/>
        </w:rPr>
        <w:t>抽查1个社区、2个</w:t>
      </w:r>
      <w:r>
        <w:rPr>
          <w:rFonts w:hint="eastAsia" w:ascii="仿宋" w:hAnsi="仿宋" w:eastAsia="仿宋" w:cs="仿宋"/>
          <w:b w:val="0"/>
          <w:bCs w:val="0"/>
          <w:sz w:val="28"/>
          <w:szCs w:val="28"/>
        </w:rPr>
        <w:t>乡级</w:t>
      </w:r>
      <w:r>
        <w:rPr>
          <w:rFonts w:hint="eastAsia" w:ascii="仿宋" w:hAnsi="仿宋" w:eastAsia="仿宋" w:cs="仿宋"/>
          <w:b w:val="0"/>
          <w:bCs w:val="0"/>
          <w:sz w:val="28"/>
          <w:szCs w:val="28"/>
          <w:lang w:eastAsia="zh-CN"/>
        </w:rPr>
        <w:t>接种单位，共评估了</w:t>
      </w:r>
      <w:r>
        <w:rPr>
          <w:rFonts w:hint="eastAsia" w:ascii="仿宋" w:hAnsi="仿宋" w:eastAsia="仿宋" w:cs="仿宋"/>
          <w:b w:val="0"/>
          <w:bCs w:val="0"/>
          <w:sz w:val="28"/>
          <w:szCs w:val="28"/>
          <w:lang w:val="en-US" w:eastAsia="zh-CN"/>
        </w:rPr>
        <w:t>6个乡镇接种单位。</w:t>
      </w:r>
    </w:p>
    <w:p>
      <w:pPr>
        <w:numPr>
          <w:ilvl w:val="0"/>
          <w:numId w:val="1"/>
        </w:numPr>
        <w:ind w:left="0" w:leftChars="0"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督导评估方式</w:t>
      </w:r>
    </w:p>
    <w:p>
      <w:pPr>
        <w:numPr>
          <w:ilvl w:val="0"/>
          <w:numId w:val="0"/>
        </w:numPr>
        <w:ind w:leftChars="200"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rPr>
        <w:t>通过现场询问、查资料、看实物和现场调查</w:t>
      </w:r>
      <w:r>
        <w:rPr>
          <w:rFonts w:hint="eastAsia" w:ascii="仿宋" w:hAnsi="仿宋" w:eastAsia="仿宋" w:cs="仿宋"/>
          <w:b w:val="0"/>
          <w:bCs w:val="0"/>
          <w:sz w:val="28"/>
          <w:szCs w:val="28"/>
          <w:lang w:eastAsia="zh-CN"/>
        </w:rPr>
        <w:t>以及查看江西省免疫规划信息管理系统，</w:t>
      </w:r>
      <w:r>
        <w:rPr>
          <w:rFonts w:hint="eastAsia" w:ascii="仿宋" w:hAnsi="仿宋" w:eastAsia="仿宋" w:cs="仿宋"/>
          <w:b w:val="0"/>
          <w:bCs w:val="0"/>
          <w:sz w:val="28"/>
          <w:szCs w:val="28"/>
        </w:rPr>
        <w:t>根据督导评估方案进行现场督导评估</w:t>
      </w:r>
      <w:r>
        <w:rPr>
          <w:rFonts w:hint="eastAsia" w:ascii="仿宋" w:hAnsi="仿宋" w:eastAsia="仿宋" w:cs="仿宋"/>
          <w:b w:val="0"/>
          <w:bCs w:val="0"/>
          <w:sz w:val="28"/>
          <w:szCs w:val="28"/>
          <w:lang w:eastAsia="zh-CN"/>
        </w:rPr>
        <w:t>。</w:t>
      </w:r>
    </w:p>
    <w:p>
      <w:pPr>
        <w:numPr>
          <w:ilvl w:val="0"/>
          <w:numId w:val="1"/>
        </w:numPr>
        <w:ind w:left="0" w:leftChars="0"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督导评估结果</w:t>
      </w:r>
    </w:p>
    <w:p>
      <w:pPr>
        <w:keepNext w:val="0"/>
        <w:keepLines w:val="0"/>
        <w:pageBreakBefore w:val="0"/>
        <w:numPr>
          <w:ilvl w:val="0"/>
          <w:numId w:val="2"/>
        </w:numPr>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各县（市、区）高度重视，规范开展新冠肺炎疫情防控疫苗迟种补种工作。</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各地按照上级统一部署，均制定本级《因新冠肺炎疫情防控迟种补种技术方案》，并就新冠疫情期间预防接种相关注意事项对各接种单位开展了线上专项培训，培训做到全覆盖。补种工作启动后</w:t>
      </w:r>
      <w:r>
        <w:rPr>
          <w:rFonts w:hint="eastAsia" w:ascii="仿宋" w:hAnsi="仿宋" w:eastAsia="仿宋" w:cs="仿宋"/>
          <w:b w:val="0"/>
          <w:bCs w:val="0"/>
          <w:sz w:val="28"/>
          <w:szCs w:val="28"/>
          <w:lang w:val="en-US" w:eastAsia="zh-CN"/>
        </w:rPr>
        <w:t>2个月，各县就本级迟种补种工作进行全面评估，并将评估结果报告上级疾控机构。</w:t>
      </w:r>
    </w:p>
    <w:p>
      <w:pPr>
        <w:keepNext w:val="0"/>
        <w:keepLines w:val="0"/>
        <w:pageBreakBefore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新冠疫情防控期间，各接种单位规范开展疫苗迟种补种工作落实情况</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被抽查的接种单位均能够按照上级迟种补种技术方案要求，对适龄儿童接种情况进行摸底登记，并及时合理安排催种、补种，但催种方式单一、或电话或短信通知，且仍有个别接种单位有“坐堂式”催种情况。</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642"/>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各接种单位能够按照要求，对受种者和陪同人员进行健康状况筛查，测量体温，询问旅居史，并记录在册。</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642"/>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新冠疫情防控期间，为合理安排预防接种工作，避免集中接种，各接种单位采取延长接种时间，增加接种工作日，取消逢5、逢10接种日安排。</w:t>
      </w:r>
    </w:p>
    <w:p>
      <w:pPr>
        <w:keepNext w:val="0"/>
        <w:keepLines w:val="0"/>
        <w:pageBreakBefore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疫苗、冷链管理情况</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各接种单位均能够根据近期工作安排，合理制定疫苗领取计划，大部分接种单位接收疫苗时均能够主动索取批签发证明文件及疫苗运输温度记录，并归档保存，但仍存在批签发证明文件收集不全的问题。</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大多数接种单位均能够按照规范要求，分苗分批号建立完整的疫苗出入库登记本，出入库账目填写完整，做到“日清月结”，账物相符。疫苗储存时，均能够按照疫苗品种、批号有序堆放，疫苗和箱壁间保留一定的间距。但仍有个别接种单位存在出入库登记表填写不全，疫苗摆放不齐的情况。各接种单位均能够按照要求进行冷链设备温度监测，每天2次，间隔大于6小时，能按照要求对冷链设备进行定期维护，但仍有部分接种单位现场查看时，冰箱未及时除霜。</w:t>
      </w:r>
    </w:p>
    <w:p>
      <w:pPr>
        <w:keepNext w:val="0"/>
        <w:keepLines w:val="0"/>
        <w:pageBreakBefore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接种、补种工作情况</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b w:val="0"/>
          <w:bCs w:val="0"/>
          <w:color w:val="000000"/>
          <w:kern w:val="0"/>
          <w:sz w:val="28"/>
          <w:szCs w:val="28"/>
          <w:lang w:val="en-US" w:eastAsia="zh-CN" w:bidi="ar"/>
        </w:rPr>
      </w:pPr>
      <w:r>
        <w:rPr>
          <w:rFonts w:hint="eastAsia" w:ascii="仿宋" w:hAnsi="仿宋" w:eastAsia="仿宋" w:cs="仿宋"/>
          <w:b w:val="0"/>
          <w:bCs w:val="0"/>
          <w:sz w:val="28"/>
          <w:szCs w:val="28"/>
          <w:lang w:val="en-US" w:eastAsia="zh-CN"/>
        </w:rPr>
        <w:t>各接种门诊布局合理，分区较明确，在醒目位置张贴接种流程图，并能够按照流程图进行接种前</w:t>
      </w:r>
      <w:r>
        <w:rPr>
          <w:rFonts w:hint="eastAsia" w:ascii="仿宋" w:hAnsi="仿宋" w:eastAsia="仿宋" w:cs="仿宋"/>
          <w:b w:val="0"/>
          <w:bCs w:val="0"/>
          <w:color w:val="000000"/>
          <w:kern w:val="0"/>
          <w:sz w:val="28"/>
          <w:szCs w:val="28"/>
          <w:lang w:val="en-US" w:eastAsia="zh-CN" w:bidi="ar"/>
        </w:rPr>
        <w:t>预检登记，并询问儿童健康状况、接种禁忌症，签署知情同意书等，告知二类苗知情、自愿、自费的原则，登记时能核对儿童姓名、出生日期、父母姓名，询问儿童居住地、家长电话是否变化等。</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接种时大多数接种单位接种人员能按照要求，严格执行“三查七对”“一验证”制度，但仍有个别接种单位没有严格执行“三查七对”“一验证”制度，导致儿童实际接种的疫苗批号与接种证批号不一致。现场抽查客户端疫苗登记，发现仍有少数接种单位，没有及时更新疫苗批号，导致客户端儿童接种信息与出入库出库疫苗信息不符。</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接种后均能够提醒受种者及陪同人员留观30分钟，并告知和预约下次接种时间。</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现场查看信息系统中近期催补种记录，统计补种完成率，发现</w:t>
      </w:r>
      <w:r>
        <w:rPr>
          <w:rFonts w:hint="eastAsia" w:ascii="仿宋" w:hAnsi="仿宋" w:eastAsia="仿宋" w:cs="仿宋"/>
          <w:b w:val="0"/>
          <w:bCs w:val="0"/>
          <w:sz w:val="28"/>
          <w:szCs w:val="28"/>
          <w:u w:val="none"/>
          <w:lang w:val="en-US" w:eastAsia="zh-CN"/>
        </w:rPr>
        <w:t>大多</w:t>
      </w:r>
      <w:r>
        <w:rPr>
          <w:rFonts w:hint="eastAsia" w:ascii="仿宋" w:hAnsi="仿宋" w:eastAsia="仿宋" w:cs="仿宋"/>
          <w:b w:val="0"/>
          <w:bCs w:val="0"/>
          <w:sz w:val="28"/>
          <w:szCs w:val="28"/>
          <w:lang w:val="en-US" w:eastAsia="zh-CN"/>
        </w:rPr>
        <w:t>接种单位补种完率较低。</w:t>
      </w:r>
    </w:p>
    <w:p>
      <w:pPr>
        <w:numPr>
          <w:ilvl w:val="0"/>
          <w:numId w:val="1"/>
        </w:numPr>
        <w:spacing w:line="240" w:lineRule="auto"/>
        <w:ind w:left="0" w:leftChars="0"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下一步工作要求</w:t>
      </w:r>
    </w:p>
    <w:p>
      <w:pPr>
        <w:numPr>
          <w:ilvl w:val="0"/>
          <w:numId w:val="0"/>
        </w:numPr>
        <w:spacing w:line="240" w:lineRule="auto"/>
        <w:ind w:leftChars="200" w:firstLine="560" w:firstLineChars="200"/>
        <w:jc w:val="left"/>
        <w:rPr>
          <w:rFonts w:hint="eastAsia" w:ascii="仿宋_GB2312" w:hAnsi="宋体" w:eastAsia="仿宋_GB2312"/>
          <w:color w:val="auto"/>
          <w:sz w:val="30"/>
          <w:szCs w:val="30"/>
          <w:lang w:val="en-US" w:eastAsia="zh-CN"/>
        </w:rPr>
      </w:pPr>
      <w:r>
        <w:rPr>
          <w:rFonts w:hint="eastAsia" w:ascii="仿宋" w:hAnsi="仿宋" w:eastAsia="仿宋" w:cs="仿宋"/>
          <w:b w:val="0"/>
          <w:bCs w:val="0"/>
          <w:sz w:val="28"/>
          <w:szCs w:val="28"/>
          <w:lang w:val="en-US" w:eastAsia="zh-CN"/>
        </w:rPr>
        <w:t>1、</w:t>
      </w:r>
      <w:r>
        <w:rPr>
          <w:rFonts w:hint="eastAsia" w:ascii="仿宋_GB2312" w:hAnsi="宋体" w:eastAsia="仿宋_GB2312"/>
          <w:sz w:val="30"/>
          <w:szCs w:val="30"/>
          <w:lang w:val="en-US" w:eastAsia="zh-CN"/>
        </w:rPr>
        <w:t>各</w:t>
      </w:r>
      <w:r>
        <w:rPr>
          <w:rFonts w:hint="eastAsia" w:ascii="仿宋_GB2312" w:hAnsi="宋体" w:eastAsia="仿宋_GB2312"/>
          <w:color w:val="auto"/>
          <w:sz w:val="30"/>
          <w:szCs w:val="30"/>
          <w:lang w:val="en-US" w:eastAsia="zh-CN"/>
        </w:rPr>
        <w:t>地应以此次督导评估为契机，对检查过程中发现的问题开展自查，逐一整改，逐项做好疫苗管理、预防接种及信息化工作。</w:t>
      </w:r>
    </w:p>
    <w:p>
      <w:pPr>
        <w:ind w:firstLine="600" w:firstLineChars="200"/>
        <w:jc w:val="left"/>
        <w:rPr>
          <w:rFonts w:hint="eastAsia" w:ascii="仿宋_GB2312" w:hAnsi="宋体" w:eastAsia="仿宋_GB2312"/>
          <w:color w:val="auto"/>
          <w:sz w:val="30"/>
          <w:szCs w:val="30"/>
          <w:lang w:val="en-US" w:eastAsia="zh-CN"/>
        </w:rPr>
      </w:pPr>
      <w:r>
        <w:rPr>
          <w:rFonts w:hint="eastAsia" w:ascii="仿宋_GB2312" w:hAnsi="宋体" w:eastAsia="仿宋_GB2312"/>
          <w:sz w:val="30"/>
          <w:szCs w:val="30"/>
          <w:lang w:val="en-US" w:eastAsia="zh-CN"/>
        </w:rPr>
        <w:t>2、</w:t>
      </w:r>
      <w:r>
        <w:rPr>
          <w:rFonts w:hint="eastAsia" w:ascii="仿宋_GB2312" w:hAnsi="宋体" w:eastAsia="仿宋_GB2312"/>
          <w:color w:val="auto"/>
          <w:sz w:val="30"/>
          <w:szCs w:val="30"/>
          <w:lang w:val="en-US" w:eastAsia="zh-CN"/>
        </w:rPr>
        <w:t>各接种单位必须严格按照《中华人民共和国疫苗管理法》以及现有的规范开展预防接种工作，严格执行“三查七对”“一验证”，真实、完整、规范填写疫苗出入库登记本、疫苗运输温度记录表、冷链设备温度记录表的各项内容。</w:t>
      </w:r>
    </w:p>
    <w:p>
      <w:pPr>
        <w:ind w:firstLine="600" w:firstLineChars="200"/>
        <w:jc w:val="left"/>
        <w:rPr>
          <w:rFonts w:hint="default" w:ascii="仿宋" w:hAnsi="仿宋" w:eastAsia="仿宋" w:cs="仿宋"/>
          <w:b w:val="0"/>
          <w:bCs w:val="0"/>
          <w:sz w:val="28"/>
          <w:szCs w:val="28"/>
          <w:lang w:val="en-US" w:eastAsia="zh-CN"/>
        </w:rPr>
      </w:pPr>
      <w:r>
        <w:rPr>
          <w:rFonts w:hint="eastAsia" w:ascii="仿宋_GB2312" w:hAnsi="仿宋_GB2312" w:eastAsia="仿宋_GB2312" w:cs="仿宋_GB2312"/>
          <w:sz w:val="30"/>
          <w:szCs w:val="30"/>
          <w:lang w:val="en-US" w:eastAsia="zh-CN"/>
        </w:rPr>
        <w:t>3</w:t>
      </w:r>
      <w:r>
        <w:rPr>
          <w:rFonts w:hint="eastAsia" w:ascii="仿宋_GB2312" w:hAnsi="宋体" w:eastAsia="仿宋_GB2312"/>
          <w:color w:val="auto"/>
          <w:sz w:val="30"/>
          <w:szCs w:val="30"/>
          <w:lang w:val="en-US" w:eastAsia="zh-CN"/>
        </w:rPr>
        <w:t>、做好因新冠疫情防控迟种补种工作，提高疫苗补种完成率。各预防接种门诊应定期通过儿童预防接种信息系统“未种通知”，导出应种儿童名单，通过电话通知、短信催种、乡村医师告知等方式，做好疫情防控常态化预防接种催补种工作，并及时将补种信息录入系统，保</w:t>
      </w:r>
      <w:r>
        <w:rPr>
          <w:rFonts w:hint="eastAsia" w:ascii="仿宋_GB2312" w:hAnsi="仿宋_GB2312" w:eastAsia="仿宋_GB2312" w:cs="仿宋_GB2312"/>
          <w:sz w:val="30"/>
          <w:szCs w:val="30"/>
          <w:lang w:val="en-US" w:eastAsia="zh-CN"/>
        </w:rPr>
        <w:t>留好催种记录作为日常查漏补种工作痕迹资料，留存备查。</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附件</w:t>
      </w: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textAlignment w:val="auto"/>
        <w:rPr>
          <w:rFonts w:hint="eastAsia" w:ascii="仿宋" w:hAnsi="仿宋" w:eastAsia="仿宋" w:cs="仿宋"/>
          <w:b w:val="0"/>
          <w:bCs w:val="0"/>
          <w:i w:val="0"/>
          <w:color w:val="000000"/>
          <w:kern w:val="0"/>
          <w:sz w:val="28"/>
          <w:szCs w:val="28"/>
          <w:u w:val="none"/>
          <w:lang w:val="en-US" w:eastAsia="zh-CN" w:bidi="ar"/>
        </w:rPr>
      </w:pPr>
      <w:r>
        <w:rPr>
          <w:rFonts w:hint="eastAsia" w:ascii="仿宋" w:hAnsi="仿宋" w:eastAsia="仿宋" w:cs="仿宋"/>
          <w:b w:val="0"/>
          <w:bCs w:val="0"/>
          <w:i w:val="0"/>
          <w:color w:val="000000"/>
          <w:kern w:val="0"/>
          <w:sz w:val="28"/>
          <w:szCs w:val="28"/>
          <w:u w:val="none"/>
          <w:lang w:val="en-US" w:eastAsia="zh-CN" w:bidi="ar"/>
        </w:rPr>
        <w:t>附表1 上饶市因新冠肺炎疫情防控迟种补种督导评估市级抽查发现存在问题一览表</w:t>
      </w: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textAlignment w:val="auto"/>
        <w:rPr>
          <w:rFonts w:hint="eastAsia" w:ascii="仿宋" w:hAnsi="仿宋" w:eastAsia="仿宋" w:cs="仿宋"/>
          <w:b w:val="0"/>
          <w:bCs w:val="0"/>
          <w:i w:val="0"/>
          <w:color w:val="000000"/>
          <w:kern w:val="0"/>
          <w:sz w:val="28"/>
          <w:szCs w:val="28"/>
          <w:u w:val="none"/>
          <w:lang w:val="en-US" w:eastAsia="zh-CN" w:bidi="ar"/>
        </w:rPr>
        <w:sectPr>
          <w:pgSz w:w="11906" w:h="16838"/>
          <w:pgMar w:top="1440" w:right="1800" w:bottom="1440" w:left="1800" w:header="851" w:footer="992" w:gutter="0"/>
          <w:cols w:space="425" w:num="1"/>
          <w:docGrid w:type="lines" w:linePitch="312" w:charSpace="0"/>
        </w:sectPr>
      </w:pPr>
    </w:p>
    <w:tbl>
      <w:tblPr>
        <w:tblStyle w:val="2"/>
        <w:tblW w:w="141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97"/>
        <w:gridCol w:w="1589"/>
        <w:gridCol w:w="1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69" w:hRule="atLeast"/>
        </w:trPr>
        <w:tc>
          <w:tcPr>
            <w:tcW w:w="14136" w:type="dxa"/>
            <w:gridSpan w:val="3"/>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ind w:leftChars="200"/>
              <w:jc w:val="center"/>
              <w:textAlignment w:val="auto"/>
              <w:rPr>
                <w:rFonts w:hint="eastAsia" w:ascii="宋体" w:hAnsi="宋体" w:eastAsia="宋体" w:cs="宋体"/>
                <w:b/>
                <w:i w:val="0"/>
                <w:color w:val="000000"/>
                <w:sz w:val="36"/>
                <w:szCs w:val="36"/>
                <w:u w:val="none"/>
              </w:rPr>
            </w:pPr>
            <w:r>
              <w:rPr>
                <w:rFonts w:hint="eastAsia" w:ascii="宋体" w:hAnsi="宋体" w:eastAsia="宋体" w:cs="宋体"/>
                <w:b/>
                <w:bCs w:val="0"/>
                <w:i w:val="0"/>
                <w:color w:val="000000"/>
                <w:kern w:val="0"/>
                <w:sz w:val="28"/>
                <w:szCs w:val="28"/>
                <w:u w:val="none"/>
                <w:lang w:val="en-US" w:eastAsia="zh-CN" w:bidi="ar"/>
              </w:rPr>
              <w:t>附表1：</w:t>
            </w:r>
            <w:r>
              <w:rPr>
                <w:rFonts w:hint="eastAsia" w:ascii="仿宋" w:hAnsi="仿宋" w:eastAsia="仿宋" w:cs="仿宋"/>
                <w:b/>
                <w:bCs w:val="0"/>
                <w:i w:val="0"/>
                <w:color w:val="000000"/>
                <w:kern w:val="0"/>
                <w:sz w:val="28"/>
                <w:szCs w:val="28"/>
                <w:u w:val="none"/>
                <w:lang w:val="en-US" w:eastAsia="zh-CN" w:bidi="ar"/>
              </w:rPr>
              <w:t>上饶市因新冠肺炎疫情防控迟种补种督导评估市级抽查发现存在问题一览表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督导县</w:t>
            </w:r>
          </w:p>
        </w:tc>
        <w:tc>
          <w:tcPr>
            <w:tcW w:w="1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督导单位</w:t>
            </w:r>
          </w:p>
        </w:tc>
        <w:tc>
          <w:tcPr>
            <w:tcW w:w="1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主要存在问题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6" w:hRule="atLeast"/>
        </w:trPr>
        <w:tc>
          <w:tcPr>
            <w:tcW w:w="1197"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德兴市</w:t>
            </w:r>
          </w:p>
        </w:tc>
        <w:tc>
          <w:tcPr>
            <w:tcW w:w="1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银城街道社区卫生服务中心</w:t>
            </w:r>
          </w:p>
        </w:tc>
        <w:tc>
          <w:tcPr>
            <w:tcW w:w="1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摸底调查主要在信息系统进行，部分疫苗批签发缺失，部分疫苗出入库填写不完整，批签发证明文号未填写。医疗废物没有“日产日清”。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56" w:hRule="atLeast"/>
        </w:trPr>
        <w:tc>
          <w:tcPr>
            <w:tcW w:w="1197"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c>
          <w:tcPr>
            <w:tcW w:w="1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 xml:space="preserve"> 花桥镇卫生院</w:t>
            </w:r>
          </w:p>
        </w:tc>
        <w:tc>
          <w:tcPr>
            <w:tcW w:w="1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查看客户端，发现疫苗批号没有及时更新，导致客户端疫苗信息与出入库账本不一致；冰箱没有及时除霜，现场查，发现存在没有严格执行“三查七对”“一验证”制度的情况，导致客户端儿童接种信息与实际接种的疫苗不一致。医疗废物没有“日产日清”。查看7月份催补种记录，补种完成率为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56" w:hRule="atLeast"/>
        </w:trPr>
        <w:tc>
          <w:tcPr>
            <w:tcW w:w="1197" w:type="dxa"/>
            <w:vMerge w:val="continue"/>
            <w:tcBorders>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c>
          <w:tcPr>
            <w:tcW w:w="158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新营卫生院</w:t>
            </w:r>
          </w:p>
        </w:tc>
        <w:tc>
          <w:tcPr>
            <w:tcW w:w="113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现场查，发现部分疫苗批签发收集不全；催种方式单一，仅为电话催种；存在客户端疫苗登记没有及时更新，与实物、出入库登记本不一致的情况；冷链设备运转状态没有及时更新；医疗废物没有做到“日产日清”。查看5月份催补种记录，补种完成率为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49" w:hRule="atLeast"/>
        </w:trPr>
        <w:tc>
          <w:tcPr>
            <w:tcW w:w="1197" w:type="dxa"/>
            <w:vMerge w:val="restart"/>
            <w:tcBorders>
              <w:top w:val="single" w:color="auto" w:sz="4" w:space="0"/>
              <w:left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万年县</w:t>
            </w:r>
          </w:p>
        </w:tc>
        <w:tc>
          <w:tcPr>
            <w:tcW w:w="1589"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裴梅卫生院</w:t>
            </w:r>
          </w:p>
        </w:tc>
        <w:tc>
          <w:tcPr>
            <w:tcW w:w="11350"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对适龄儿童接种情况摸底调查仅从信息系统导出，医疗废物没有做到“日产日清”；</w:t>
            </w:r>
            <w:r>
              <w:rPr>
                <w:rFonts w:hint="eastAsia" w:ascii="仿宋" w:hAnsi="仿宋" w:eastAsia="仿宋" w:cs="仿宋"/>
                <w:i w:val="0"/>
                <w:color w:val="000000"/>
                <w:kern w:val="0"/>
                <w:sz w:val="28"/>
                <w:szCs w:val="28"/>
                <w:u w:val="none"/>
                <w:lang w:val="en-US" w:eastAsia="zh-CN" w:bidi="ar"/>
              </w:rPr>
              <w:t>查看客户端催补种记录，补种完成率低，为30%。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56" w:hRule="atLeast"/>
        </w:trPr>
        <w:tc>
          <w:tcPr>
            <w:tcW w:w="1197" w:type="dxa"/>
            <w:vMerge w:val="continue"/>
            <w:tcBorders>
              <w:left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c>
          <w:tcPr>
            <w:tcW w:w="1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湖云卫生院</w:t>
            </w:r>
          </w:p>
        </w:tc>
        <w:tc>
          <w:tcPr>
            <w:tcW w:w="1135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现场查，发现没有开展适龄儿童接种情况摸底登记，只有迟种补种接种记录；催种主要为“坐堂式”接种，没有电话、短信或者入户催种；冰箱没有及时除霜；无“一验证”标识上墙；医疗废弃物没有做到“日产日清”；</w:t>
            </w:r>
            <w:bookmarkStart w:id="0" w:name="_GoBack"/>
            <w:r>
              <w:rPr>
                <w:rFonts w:hint="eastAsia" w:ascii="仿宋" w:hAnsi="仿宋" w:eastAsia="仿宋" w:cs="仿宋"/>
                <w:i w:val="0"/>
                <w:color w:val="000000"/>
                <w:kern w:val="0"/>
                <w:sz w:val="28"/>
                <w:szCs w:val="28"/>
                <w:u w:val="none"/>
                <w:lang w:val="en-US" w:eastAsia="zh-CN" w:bidi="ar"/>
              </w:rPr>
              <w:t>客户端查催种记录，今年1月份补种率为20%</w:t>
            </w:r>
            <w:bookmarkEnd w:id="0"/>
            <w:r>
              <w:rPr>
                <w:rFonts w:hint="eastAsia" w:ascii="仿宋" w:hAnsi="仿宋" w:eastAsia="仿宋" w:cs="仿宋"/>
                <w:i w:val="0"/>
                <w:color w:val="000000"/>
                <w:kern w:val="0"/>
                <w:sz w:val="28"/>
                <w:szCs w:val="2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56" w:hRule="atLeast"/>
        </w:trPr>
        <w:tc>
          <w:tcPr>
            <w:tcW w:w="1197" w:type="dxa"/>
            <w:vMerge w:val="continue"/>
            <w:tcBorders>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c>
          <w:tcPr>
            <w:tcW w:w="158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珠山社区卫生服务中心</w:t>
            </w:r>
          </w:p>
        </w:tc>
        <w:tc>
          <w:tcPr>
            <w:tcW w:w="11350"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现场检查发现，接种室冰箱存放有食物，疫苗摆放不齐；“一验证”标识未上墙；医疗废弃物没有做到“日产日清”；因该社区为新建单位，存在管理对象没有完全管理到的情况。</w:t>
            </w:r>
          </w:p>
        </w:tc>
      </w:tr>
    </w:tbl>
    <w:p>
      <w:pPr>
        <w:keepNext w:val="0"/>
        <w:keepLines w:val="0"/>
        <w:pageBreakBefore w:val="0"/>
        <w:numPr>
          <w:ilvl w:val="0"/>
          <w:numId w:val="0"/>
        </w:numPr>
        <w:kinsoku/>
        <w:wordWrap/>
        <w:overflowPunct/>
        <w:topLinePunct w:val="0"/>
        <w:autoSpaceDE/>
        <w:autoSpaceDN/>
        <w:bidi w:val="0"/>
        <w:adjustRightInd/>
        <w:snapToGrid/>
        <w:spacing w:line="360" w:lineRule="auto"/>
        <w:ind w:leftChars="200"/>
        <w:textAlignment w:val="auto"/>
        <w:rPr>
          <w:rFonts w:hint="eastAsia" w:ascii="仿宋" w:hAnsi="仿宋" w:eastAsia="仿宋" w:cs="仿宋"/>
          <w:b w:val="0"/>
          <w:bCs w:val="0"/>
          <w:i w:val="0"/>
          <w:color w:val="000000"/>
          <w:kern w:val="0"/>
          <w:sz w:val="28"/>
          <w:szCs w:val="28"/>
          <w:u w:val="none"/>
          <w:lang w:val="en-US" w:eastAsia="zh-CN" w:bidi="ar"/>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textAlignment w:val="auto"/>
        <w:rPr>
          <w:rFonts w:hint="eastAsia" w:ascii="仿宋" w:hAnsi="仿宋" w:eastAsia="仿宋" w:cs="仿宋"/>
          <w:b w:val="0"/>
          <w:bCs w:val="0"/>
          <w:i w:val="0"/>
          <w:color w:val="000000"/>
          <w:kern w:val="0"/>
          <w:sz w:val="28"/>
          <w:szCs w:val="28"/>
          <w:u w:val="none"/>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textAlignment w:val="auto"/>
        <w:rPr>
          <w:rFonts w:hint="eastAsia" w:ascii="仿宋" w:hAnsi="仿宋" w:eastAsia="仿宋" w:cs="仿宋"/>
          <w:b w:val="0"/>
          <w:bCs w:val="0"/>
          <w:i w:val="0"/>
          <w:color w:val="000000"/>
          <w:kern w:val="0"/>
          <w:sz w:val="28"/>
          <w:szCs w:val="28"/>
          <w:u w:val="none"/>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textAlignment w:val="auto"/>
        <w:rPr>
          <w:rFonts w:hint="eastAsia" w:ascii="仿宋" w:hAnsi="仿宋" w:eastAsia="仿宋" w:cs="仿宋"/>
          <w:b w:val="0"/>
          <w:bCs w:val="0"/>
          <w:i w:val="0"/>
          <w:color w:val="000000"/>
          <w:kern w:val="0"/>
          <w:sz w:val="28"/>
          <w:szCs w:val="28"/>
          <w:u w:val="none"/>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b w:val="0"/>
          <w:bCs w:val="0"/>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b w:val="0"/>
          <w:bCs w:val="0"/>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642"/>
        <w:textAlignment w:val="auto"/>
        <w:rPr>
          <w:rFonts w:hint="eastAsia" w:ascii="仿宋" w:hAnsi="仿宋" w:eastAsia="仿宋" w:cs="仿宋"/>
          <w:b w:val="0"/>
          <w:bCs w:val="0"/>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w:t>
      </w:r>
    </w:p>
    <w:p>
      <w:pPr>
        <w:numPr>
          <w:ilvl w:val="0"/>
          <w:numId w:val="0"/>
        </w:numPr>
        <w:ind w:leftChars="200"/>
        <w:jc w:val="left"/>
        <w:rPr>
          <w:rFonts w:hint="eastAsia" w:ascii="仿宋" w:hAnsi="仿宋" w:eastAsia="仿宋" w:cs="仿宋"/>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91F329"/>
    <w:multiLevelType w:val="singleLevel"/>
    <w:tmpl w:val="8291F329"/>
    <w:lvl w:ilvl="0" w:tentative="0">
      <w:start w:val="1"/>
      <w:numFmt w:val="chineseCounting"/>
      <w:suff w:val="nothing"/>
      <w:lvlText w:val="%1、"/>
      <w:lvlJc w:val="left"/>
      <w:rPr>
        <w:rFonts w:hint="eastAsia"/>
      </w:rPr>
    </w:lvl>
  </w:abstractNum>
  <w:abstractNum w:abstractNumId="1">
    <w:nsid w:val="53C7FE45"/>
    <w:multiLevelType w:val="singleLevel"/>
    <w:tmpl w:val="53C7FE4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845AE0"/>
    <w:rsid w:val="01157421"/>
    <w:rsid w:val="31BE7EB5"/>
    <w:rsid w:val="57995BAB"/>
    <w:rsid w:val="6A845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2020-08-27T01:14:00Z</dcterms:created>
  <dc:creator>Administrator</dc:creator>
  <cp:lastModifiedBy>陈利华</cp:lastModifiedBy>
  <dcterms:modified xsi:type="dcterms:W3CDTF">2020-12-16T01:47:53Z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