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方正小标宋简体" w:hAnsi="方正小标宋简体" w:eastAsia="方正小标宋简体" w:cs="方正小标宋简体"/>
          <w:bCs/>
          <w:color w:val="000000" w:themeColor="text1"/>
          <w:sz w:val="44"/>
          <w:szCs w:val="44"/>
          <w:shd w:val="clear" w:color="auto" w:fill="FFFFFF"/>
          <w:lang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shd w:val="clear" w:color="auto" w:fill="FFFFFF"/>
          <w:lang w:eastAsia="zh-CN"/>
          <w14:textFill>
            <w14:solidFill>
              <w14:schemeClr w14:val="tx1"/>
            </w14:solidFill>
          </w14:textFill>
        </w:rPr>
        <w:t>上饶市应急管理局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eastAsia="宋体"/>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shd w:val="clear" w:color="auto" w:fill="FFFFFF"/>
          <w:lang w:val="en-US" w:eastAsia="zh-CN"/>
          <w14:textFill>
            <w14:solidFill>
              <w14:schemeClr w14:val="tx1"/>
            </w14:solidFill>
          </w14:textFill>
        </w:rPr>
        <w:t>2020年度</w:t>
      </w:r>
      <w:r>
        <w:rPr>
          <w:rFonts w:hint="eastAsia"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t>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本报告依据《中华人民共和国政府信息公开条例》（以下简称《条例》）有关规定，汇总市政府门户网站“政务公开”栏目中“上饶市应急管理局政府信息公开”平台数据编制而成。本报告中使用数据统计期限为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lang w:eastAsia="zh-CN"/>
          <w14:textFill>
            <w14:solidFill>
              <w14:schemeClr w14:val="tx1"/>
            </w14:solidFill>
          </w14:textFill>
        </w:rPr>
        <w:t>年1月1日至12月31日。报告的电子版可在“上饶市应急管理局政府信息公开”平台</w:t>
      </w:r>
      <w:r>
        <w:rPr>
          <w:rFonts w:hint="eastAsia" w:ascii="仿宋_GB2312" w:hAnsi="仿宋_GB2312" w:eastAsia="仿宋_GB2312" w:cs="仿宋_GB2312"/>
          <w:color w:val="000000" w:themeColor="text1"/>
          <w:spacing w:val="-37"/>
          <w:sz w:val="30"/>
          <w:szCs w:val="30"/>
          <w:lang w:eastAsia="zh-CN"/>
          <w14:textFill>
            <w14:solidFill>
              <w14:schemeClr w14:val="tx1"/>
            </w14:solidFill>
          </w14:textFill>
        </w:rPr>
        <w:t>（http://www.zgsr.gov.cn/yjgl/gkzn/zwgk_xxgklist_tt.shtml）</w:t>
      </w:r>
      <w:r>
        <w:rPr>
          <w:rFonts w:hint="eastAsia" w:ascii="仿宋_GB2312" w:hAnsi="仿宋_GB2312" w:eastAsia="仿宋_GB2312" w:cs="仿宋_GB2312"/>
          <w:color w:val="000000" w:themeColor="text1"/>
          <w:sz w:val="32"/>
          <w:szCs w:val="32"/>
          <w:lang w:eastAsia="zh-CN"/>
          <w14:textFill>
            <w14:solidFill>
              <w14:schemeClr w14:val="tx1"/>
            </w14:solidFill>
          </w14:textFill>
        </w:rPr>
        <w:t>下载。如对本报告有任何疑问，请与上饶市应急管理局办公室联系（地址：上饶市锦绣路广信大厦西楼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21层</w:t>
      </w:r>
      <w:r>
        <w:rPr>
          <w:rFonts w:hint="eastAsia" w:ascii="仿宋_GB2312" w:hAnsi="仿宋_GB2312" w:eastAsia="仿宋_GB2312" w:cs="仿宋_GB2312"/>
          <w:color w:val="000000" w:themeColor="text1"/>
          <w:sz w:val="32"/>
          <w:szCs w:val="32"/>
          <w:lang w:eastAsia="zh-CN"/>
          <w14:textFill>
            <w14:solidFill>
              <w14:schemeClr w14:val="tx1"/>
            </w14:solidFill>
          </w14:textFill>
        </w:rPr>
        <w:t>，电话：0793-8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209349</w:t>
      </w:r>
      <w:r>
        <w:rPr>
          <w:rFonts w:hint="eastAsia" w:ascii="仿宋_GB2312" w:hAnsi="仿宋_GB2312" w:eastAsia="仿宋_GB2312" w:cs="仿宋_GB2312"/>
          <w:color w:val="000000" w:themeColor="text1"/>
          <w:sz w:val="32"/>
          <w:szCs w:val="32"/>
          <w:lang w:eastAsia="zh-CN"/>
          <w14:textFill>
            <w14:solidFill>
              <w14:schemeClr w14:val="tx1"/>
            </w14:solidFill>
          </w14:textFill>
        </w:rPr>
        <w:t>，邮编：334000）。</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shd w:val="clear" w:color="auto" w:fill="FFFFFF"/>
          <w14:textFill>
            <w14:solidFill>
              <w14:schemeClr w14:val="tx1"/>
            </w14:solidFill>
          </w14:textFill>
        </w:rPr>
        <w:t>一、</w:t>
      </w:r>
      <w:r>
        <w:rPr>
          <w:rFonts w:hint="eastAsia" w:ascii="黑体" w:hAnsi="黑体" w:eastAsia="黑体" w:cs="黑体"/>
          <w:bCs/>
          <w:color w:val="000000" w:themeColor="text1"/>
          <w:sz w:val="32"/>
          <w:szCs w:val="32"/>
          <w:shd w:val="clear" w:color="auto" w:fill="FFFFFF"/>
          <w14:textFill>
            <w14:solidFill>
              <w14:schemeClr w14:val="tx1"/>
            </w14:solidFill>
          </w14:textFill>
        </w:rPr>
        <w:t>总体情况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2020年以来，上饶市应急管理局信息公开工作坚持以习近平新时代中国特色社会主义思想为指导，认真贯彻落实《条例》，紧紧围绕局中心工作，在持续推进应急管理体系机构改革的同时，全面落实“五公开”，深化“行政执法”、“公告公示”等重点领域信息公开，切实加强政策解读，着力推进政府信息公开制度化规范化，努力为群众提供更好的政府信息公开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（一）主动公开情况。</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2020年，按照《条例》要求，上饶市应急管理局及时发布了政务工作动态和财经信息、规范性文件等，改进工作作风，方便群众办事和监督。在平台公开信息 238条，涉及概况信息、政策法规、行政权力、规划计划、财政资金、应急管理、人事信息、安全生产、工作动态、公告公示、公开指南、公开年报等，其中：政策法规信息14条、行政权力信息23条、应急管理信息17条、安全生产信息16条、工作动态75条、公告公示56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（二）依申请公开政府信息情况。</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2020年，未收到政府信息申请公开事项，不存在政府信息公开行政复议、行政诉讼的情况。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（三）政府信息管理。</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为贯彻落实好《条例》，切实加强对政府信息公开工作的领导，市应急管理</w:t>
      </w:r>
      <w:r>
        <w:rPr>
          <w:rFonts w:hint="eastAsia" w:ascii="仿宋_GB2312" w:hAnsi="仿宋_GB2312" w:eastAsia="仿宋_GB2312" w:cs="仿宋_GB2312"/>
          <w:color w:val="auto"/>
          <w:kern w:val="2"/>
          <w:sz w:val="32"/>
          <w:szCs w:val="32"/>
          <w:lang w:val="en-US" w:eastAsia="zh-CN" w:bidi="ar-SA"/>
        </w:rPr>
        <w:t>局成立了政府信息公开工作领导小组，由局二级调研员李聚通任组长，局办公室负责推进、指导、协调、监督、检查全局政府信息公开工作，全局已建立起至上而下的政府信息公开组织体系，工作责任落实到科室、落实到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（四）平台建设。</w:t>
      </w:r>
      <w:r>
        <w:rPr>
          <w:rFonts w:hint="eastAsia" w:ascii="仿宋_GB2312" w:hAnsi="仿宋_GB2312" w:eastAsia="仿宋_GB2312" w:cs="仿宋_GB2312"/>
          <w:color w:val="auto"/>
          <w:kern w:val="2"/>
          <w:sz w:val="32"/>
          <w:szCs w:val="32"/>
          <w:lang w:val="en-US" w:eastAsia="zh-CN" w:bidi="ar-SA"/>
        </w:rPr>
        <w:t>根据《条例》内容，及时修订完善并公布了政府信息公开指南、主动公开目录、依申请公开等内容，做好了与《条例》的过渡衔接工作，与市政府其他部门统一在市政府信息公开平台发布政府信息。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（五）监督保障。</w:t>
      </w:r>
      <w:r>
        <w:rPr>
          <w:rFonts w:hint="eastAsia" w:ascii="仿宋_GB2312" w:hAnsi="仿宋_GB2312" w:eastAsia="仿宋_GB2312" w:cs="仿宋_GB2312"/>
          <w:color w:val="auto"/>
          <w:kern w:val="2"/>
          <w:sz w:val="32"/>
          <w:szCs w:val="32"/>
          <w:lang w:val="en-US" w:eastAsia="zh-CN" w:bidi="ar-SA"/>
        </w:rPr>
        <w:t>2020年，市应急管理局进一步完善政府信息公开制度建设，基本建立起政务信息主动公开工作机制、依申请公开受理机制、发布保密审查机制、考核与监督制度等工作运行机制，逐步建立了细化、完善、可操作的政务公开工作制度体系，同时，严格执行《上饶市应急管理局政务公开工作制度》《上饶市应急管理局信息公开工作制度》，为进一步加强和改进政务公开工作提供制度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二、主动公开政府信息情况</w:t>
      </w:r>
    </w:p>
    <w:tbl>
      <w:tblPr>
        <w:tblStyle w:val="7"/>
        <w:tblW w:w="9085" w:type="dxa"/>
        <w:jc w:val="center"/>
        <w:shd w:val="clear" w:color="auto" w:fill="FFFFFF" w:themeFill="background1"/>
        <w:tblLayout w:type="fixed"/>
        <w:tblCellMar>
          <w:top w:w="0" w:type="dxa"/>
          <w:left w:w="0" w:type="dxa"/>
          <w:bottom w:w="0" w:type="dxa"/>
          <w:right w:w="0" w:type="dxa"/>
        </w:tblCellMar>
      </w:tblPr>
      <w:tblGrid>
        <w:gridCol w:w="3583"/>
        <w:gridCol w:w="1875"/>
        <w:gridCol w:w="6"/>
        <w:gridCol w:w="1265"/>
        <w:gridCol w:w="2356"/>
      </w:tblGrid>
      <w:tr>
        <w:tblPrEx>
          <w:shd w:val="clear" w:color="auto" w:fill="FFFFFF" w:themeFill="background1"/>
          <w:tblCellMar>
            <w:top w:w="0" w:type="dxa"/>
            <w:left w:w="0" w:type="dxa"/>
            <w:bottom w:w="0" w:type="dxa"/>
            <w:right w:w="0" w:type="dxa"/>
          </w:tblCellMar>
        </w:tblPrEx>
        <w:trPr>
          <w:trHeight w:val="495" w:hRule="atLeast"/>
          <w:jc w:val="center"/>
        </w:trPr>
        <w:tc>
          <w:tcPr>
            <w:tcW w:w="9085"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665"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本年新</w:t>
            </w:r>
            <w:r>
              <w:rPr>
                <w:rFonts w:hint="eastAsia" w:ascii="宋体" w:hAnsi="宋体" w:cs="宋体"/>
                <w:color w:val="000000" w:themeColor="text1"/>
                <w:kern w:val="0"/>
                <w:sz w:val="20"/>
                <w:szCs w:val="20"/>
                <w:lang w:val="en-US" w:eastAsia="zh-CN"/>
                <w14:textFill>
                  <w14:solidFill>
                    <w14:schemeClr w14:val="tx1"/>
                  </w14:solidFill>
                </w14:textFill>
              </w:rPr>
              <w:br w:type="textWrapping"/>
            </w:r>
            <w:r>
              <w:rPr>
                <w:rFonts w:hint="eastAsia" w:ascii="宋体" w:hAnsi="宋体" w:cs="宋体"/>
                <w:color w:val="000000" w:themeColor="text1"/>
                <w:kern w:val="0"/>
                <w:sz w:val="20"/>
                <w:szCs w:val="20"/>
                <w:lang w:val="en-US" w:eastAsia="zh-CN"/>
                <w14:textFill>
                  <w14:solidFill>
                    <w14:schemeClr w14:val="tx1"/>
                  </w14:solidFill>
                </w14:textFill>
              </w:rPr>
              <w:t>制作数量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本年新</w:t>
            </w:r>
            <w:r>
              <w:rPr>
                <w:rFonts w:hint="eastAsia" w:ascii="宋体" w:hAnsi="宋体" w:cs="宋体"/>
                <w:color w:val="000000" w:themeColor="text1"/>
                <w:kern w:val="0"/>
                <w:sz w:val="20"/>
                <w:szCs w:val="20"/>
                <w:lang w:val="en-US" w:eastAsia="zh-CN"/>
                <w14:textFill>
                  <w14:solidFill>
                    <w14:schemeClr w14:val="tx1"/>
                  </w14:solidFill>
                </w14:textFill>
              </w:rPr>
              <w:br w:type="textWrapping"/>
            </w:r>
            <w:r>
              <w:rPr>
                <w:rFonts w:hint="eastAsia" w:ascii="宋体" w:hAnsi="宋体" w:cs="宋体"/>
                <w:color w:val="000000" w:themeColor="text1"/>
                <w:kern w:val="0"/>
                <w:sz w:val="20"/>
                <w:szCs w:val="20"/>
                <w:lang w:val="en-US" w:eastAsia="zh-CN"/>
                <w14:textFill>
                  <w14:solidFill>
                    <w14:schemeClr w14:val="tx1"/>
                  </w14:solidFill>
                </w14:textFill>
              </w:rPr>
              <w:t>公开数量</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对外公开总数量</w:t>
            </w:r>
          </w:p>
        </w:tc>
      </w:tr>
      <w:tr>
        <w:tblPrEx>
          <w:tblCellMar>
            <w:top w:w="0" w:type="dxa"/>
            <w:left w:w="0" w:type="dxa"/>
            <w:bottom w:w="0" w:type="dxa"/>
            <w:right w:w="0" w:type="dxa"/>
          </w:tblCellMar>
        </w:tblPrEx>
        <w:trPr>
          <w:trHeight w:val="90"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color w:val="000000" w:themeColor="text1"/>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color w:val="000000" w:themeColor="text1"/>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宋体"/>
                <w:color w:val="000000" w:themeColor="text1"/>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41(含原市安监局、防震减灾局、煤行办信息）</w:t>
            </w:r>
          </w:p>
        </w:tc>
      </w:tr>
      <w:tr>
        <w:tblPrEx>
          <w:tblCellMar>
            <w:top w:w="0" w:type="dxa"/>
            <w:left w:w="0" w:type="dxa"/>
            <w:bottom w:w="0" w:type="dxa"/>
            <w:right w:w="0" w:type="dxa"/>
          </w:tblCellMar>
        </w:tblPrEx>
        <w:trPr>
          <w:trHeight w:val="471"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8</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8</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66</w:t>
            </w:r>
            <w:bookmarkStart w:id="0" w:name="_GoBack"/>
            <w:bookmarkEnd w:id="0"/>
            <w:r>
              <w:rPr>
                <w:rFonts w:hint="eastAsia" w:ascii="宋体" w:hAnsi="宋体" w:cs="宋体"/>
                <w:color w:val="000000" w:themeColor="text1"/>
                <w:kern w:val="0"/>
                <w:sz w:val="20"/>
                <w:szCs w:val="20"/>
                <w:lang w:val="en-US" w:eastAsia="zh-CN"/>
                <w14:textFill>
                  <w14:solidFill>
                    <w14:schemeClr w14:val="tx1"/>
                  </w14:solidFill>
                </w14:textFill>
              </w:rPr>
              <w:t>(含原市安监局、防震减灾局、煤行办信息）</w:t>
            </w:r>
          </w:p>
        </w:tc>
      </w:tr>
      <w:tr>
        <w:tblPrEx>
          <w:tblCellMar>
            <w:top w:w="0" w:type="dxa"/>
            <w:left w:w="0" w:type="dxa"/>
            <w:bottom w:w="0" w:type="dxa"/>
            <w:right w:w="0" w:type="dxa"/>
          </w:tblCellMar>
        </w:tblPrEx>
        <w:trPr>
          <w:trHeight w:val="480" w:hRule="atLeast"/>
          <w:jc w:val="center"/>
        </w:trPr>
        <w:tc>
          <w:tcPr>
            <w:tcW w:w="9085"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20"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本年增/减</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处理决定数量</w:t>
            </w:r>
          </w:p>
        </w:tc>
      </w:tr>
      <w:tr>
        <w:tblPrEx>
          <w:tblCellMar>
            <w:top w:w="0" w:type="dxa"/>
            <w:left w:w="0" w:type="dxa"/>
            <w:bottom w:w="0" w:type="dxa"/>
            <w:right w:w="0" w:type="dxa"/>
          </w:tblCellMar>
        </w:tblPrEx>
        <w:trPr>
          <w:trHeight w:val="528"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color w:val="000000" w:themeColor="text1"/>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62(含原市安监局、防震减灾局、煤行办信息）</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color w:val="000000" w:themeColor="text1"/>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+18</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color w:val="000000" w:themeColor="text1"/>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80(含原市安监局、防震减灾局、煤行办信息）</w:t>
            </w:r>
          </w:p>
        </w:tc>
      </w:tr>
      <w:tr>
        <w:tblPrEx>
          <w:tblCellMar>
            <w:top w:w="0" w:type="dxa"/>
            <w:left w:w="0" w:type="dxa"/>
            <w:bottom w:w="0" w:type="dxa"/>
            <w:right w:w="0" w:type="dxa"/>
          </w:tblCellMar>
        </w:tblPrEx>
        <w:trPr>
          <w:trHeight w:val="550"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color w:val="000000" w:themeColor="text1"/>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125(含原市安监局、防震减灾局、煤行办信息）</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color w:val="000000" w:themeColor="text1"/>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+50</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color w:val="000000" w:themeColor="text1"/>
                <w:lang w:val="en-US"/>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175(含原市安监局、防震减灾局、煤行办信息）</w:t>
            </w:r>
          </w:p>
        </w:tc>
      </w:tr>
      <w:tr>
        <w:tblPrEx>
          <w:tblCellMar>
            <w:top w:w="0" w:type="dxa"/>
            <w:left w:w="0" w:type="dxa"/>
            <w:bottom w:w="0" w:type="dxa"/>
            <w:right w:w="0" w:type="dxa"/>
          </w:tblCellMar>
        </w:tblPrEx>
        <w:trPr>
          <w:trHeight w:val="406" w:hRule="atLeast"/>
          <w:jc w:val="center"/>
        </w:trPr>
        <w:tc>
          <w:tcPr>
            <w:tcW w:w="9085"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4"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本年增/减</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处理决定数量</w:t>
            </w:r>
          </w:p>
        </w:tc>
      </w:tr>
      <w:tr>
        <w:tblPrEx>
          <w:tblCellMar>
            <w:top w:w="0" w:type="dxa"/>
            <w:left w:w="0" w:type="dxa"/>
            <w:bottom w:w="0" w:type="dxa"/>
            <w:right w:w="0" w:type="dxa"/>
          </w:tblCellMar>
        </w:tblPrEx>
        <w:trPr>
          <w:trHeight w:val="430"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7(含原市安监局、防震减灾局、煤行办信息）</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ascii="宋体" w:hAnsi="宋体" w:cs="宋体"/>
                <w:color w:val="000000" w:themeColor="text1"/>
                <w:kern w:val="0"/>
                <w:sz w:val="20"/>
                <w:szCs w:val="20"/>
                <w:lang w:val="en-US" w:eastAsia="zh-CN"/>
                <w14:textFill>
                  <w14:solidFill>
                    <w14:schemeClr w14:val="tx1"/>
                  </w14:solidFill>
                </w14:textFill>
              </w:rPr>
              <w:t>13(含原市安监局、防震减灾局、煤行办信息）</w:t>
            </w:r>
          </w:p>
        </w:tc>
      </w:tr>
      <w:tr>
        <w:tblPrEx>
          <w:tblCellMar>
            <w:top w:w="0" w:type="dxa"/>
            <w:left w:w="0" w:type="dxa"/>
            <w:bottom w:w="0" w:type="dxa"/>
            <w:right w:w="0" w:type="dxa"/>
          </w:tblCellMar>
        </w:tblPrEx>
        <w:trPr>
          <w:trHeight w:val="409"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235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85"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61"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信息内容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上一年项目数量</w:t>
            </w:r>
          </w:p>
        </w:tc>
        <w:tc>
          <w:tcPr>
            <w:tcW w:w="3621"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本年增/减</w:t>
            </w:r>
          </w:p>
        </w:tc>
      </w:tr>
      <w:tr>
        <w:tblPrEx>
          <w:tblCellMar>
            <w:top w:w="0" w:type="dxa"/>
            <w:left w:w="0" w:type="dxa"/>
            <w:bottom w:w="0" w:type="dxa"/>
            <w:right w:w="0" w:type="dxa"/>
          </w:tblCellMar>
        </w:tblPrEx>
        <w:trPr>
          <w:trHeight w:val="551" w:hRule="atLeast"/>
          <w:jc w:val="center"/>
        </w:trPr>
        <w:tc>
          <w:tcPr>
            <w:tcW w:w="358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c>
          <w:tcPr>
            <w:tcW w:w="3621"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9085"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cs="宋体"/>
                <w:color w:val="000000" w:themeColor="text1"/>
                <w:kern w:val="0"/>
                <w:sz w:val="20"/>
                <w:szCs w:val="20"/>
                <w:lang w:val="en-US" w:eastAsia="zh-CN"/>
                <w14:textFill>
                  <w14:solidFill>
                    <w14:schemeClr w14:val="tx1"/>
                  </w14:solidFill>
                </w14:textFill>
              </w:rPr>
              <w:t>第二十条第（九）项</w:t>
            </w:r>
          </w:p>
        </w:tc>
      </w:tr>
      <w:tr>
        <w:tblPrEx>
          <w:tblCellMar>
            <w:top w:w="0" w:type="dxa"/>
            <w:left w:w="0" w:type="dxa"/>
            <w:bottom w:w="0" w:type="dxa"/>
            <w:right w:w="0" w:type="dxa"/>
          </w:tblCellMar>
        </w:tblPrEx>
        <w:trPr>
          <w:trHeight w:val="464" w:hRule="atLeast"/>
          <w:jc w:val="center"/>
        </w:trPr>
        <w:tc>
          <w:tcPr>
            <w:tcW w:w="358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信息内容</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采购项目数量</w:t>
            </w:r>
          </w:p>
        </w:tc>
        <w:tc>
          <w:tcPr>
            <w:tcW w:w="362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采购总金额</w:t>
            </w:r>
          </w:p>
        </w:tc>
      </w:tr>
      <w:tr>
        <w:tblPrEx>
          <w:tblCellMar>
            <w:top w:w="0" w:type="dxa"/>
            <w:left w:w="0" w:type="dxa"/>
            <w:bottom w:w="0" w:type="dxa"/>
            <w:right w:w="0" w:type="dxa"/>
          </w:tblCellMar>
        </w:tblPrEx>
        <w:trPr>
          <w:trHeight w:val="520" w:hRule="atLeast"/>
          <w:jc w:val="center"/>
        </w:trPr>
        <w:tc>
          <w:tcPr>
            <w:tcW w:w="358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color w:val="000000"/>
                <w:kern w:val="0"/>
                <w:sz w:val="20"/>
                <w:szCs w:val="20"/>
              </w:rPr>
              <w:t>政府集中采购</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c>
          <w:tcPr>
            <w:tcW w:w="362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pageBreakBefore w:val="0"/>
              <w:kinsoku/>
              <w:wordWrap/>
              <w:overflowPunct/>
              <w:topLinePunct w:val="0"/>
              <w:autoSpaceDE/>
              <w:autoSpaceDN/>
              <w:bidi w:val="0"/>
              <w:adjustRightInd/>
              <w:snapToGrid/>
              <w:spacing w:line="600" w:lineRule="exact"/>
              <w:jc w:val="center"/>
              <w:textAlignment w:val="auto"/>
              <w:rPr>
                <w:rFonts w:hint="eastAsia" w:ascii="宋体" w:eastAsia="宋体"/>
                <w:sz w:val="24"/>
                <w:szCs w:val="24"/>
                <w:lang w:val="en-US" w:eastAsia="zh-CN"/>
              </w:rPr>
            </w:pPr>
            <w:r>
              <w:rPr>
                <w:rFonts w:hint="eastAsia" w:ascii="宋体" w:hAnsi="宋体" w:eastAsia="宋体" w:cs="宋体"/>
                <w:color w:val="000000"/>
                <w:kern w:val="0"/>
                <w:sz w:val="20"/>
                <w:szCs w:val="20"/>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三、收到和处理政府信息公开申请情况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5"/>
        <w:gridCol w:w="2089"/>
        <w:gridCol w:w="814"/>
        <w:gridCol w:w="756"/>
        <w:gridCol w:w="756"/>
        <w:gridCol w:w="815"/>
        <w:gridCol w:w="976"/>
        <w:gridCol w:w="713"/>
        <w:gridCol w:w="6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（本列数据的勾稽关系为：第一项加第二项之和，等于第三项加第四项之和）</w:t>
            </w:r>
          </w:p>
        </w:tc>
        <w:tc>
          <w:tcPr>
            <w:tcW w:w="550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自然人</w:t>
            </w:r>
          </w:p>
        </w:tc>
        <w:tc>
          <w:tcPr>
            <w:tcW w:w="401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法人或其他组织</w:t>
            </w:r>
          </w:p>
        </w:tc>
        <w:tc>
          <w:tcPr>
            <w:tcW w:w="67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科研机构</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社会公益组织</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法律服务机构</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其他</w:t>
            </w:r>
          </w:p>
        </w:tc>
        <w:tc>
          <w:tcPr>
            <w:tcW w:w="67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一、本年新收政府信息公开申请数量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二、上年结转政府信息公开申请数量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宋体"/>
                <w:lang w:val="en-US" w:eastAsia="zh-CN"/>
              </w:rPr>
            </w:pPr>
            <w:r>
              <w:rPr>
                <w:rFonts w:hint="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三、本年度办理结果</w:t>
            </w: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（一）予以公开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cs="Calibri" w:eastAsia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（二）部分公开（区分处理的，只计这一情形，不计其他情形）</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（三）不予公开</w:t>
            </w: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1.属于国家秘密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4"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2.其他法律行政法规禁止公开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3.危及“三安全一稳定”</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4.保护第三方合法权益</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5.属于三类内部事务信息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6.属于四类过程性信息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7.属于行政执法案卷</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8.属于行政查询事项</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（四）无法提供</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1.本机关不掌握相关政府信息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2.没有现成信息需要另行制作</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3.补正后申请内容仍不明确</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（五）不予处理</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1.信访举报投诉类申请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2.重复申请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3.要求提供公开出版物</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4.无正当理由大量反复申请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5.要求行政机关确认或重新出具已获取信息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7"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29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（六）其他处理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kinsoku/>
              <w:wordWrap/>
              <w:overflowPunct/>
              <w:topLinePunct w:val="0"/>
              <w:autoSpaceDE/>
              <w:autoSpaceDN/>
              <w:bidi w:val="0"/>
              <w:adjustRightInd/>
              <w:snapToGrid/>
              <w:spacing w:line="600" w:lineRule="exact"/>
              <w:jc w:val="left"/>
              <w:textAlignment w:val="auto"/>
              <w:rPr>
                <w:rFonts w:ascii="宋体"/>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楷体" w:hAnsi="楷体" w:eastAsia="楷体" w:cs="楷体"/>
                <w:kern w:val="0"/>
                <w:sz w:val="20"/>
                <w:szCs w:val="20"/>
              </w:rPr>
              <w:t>（七）总计</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default" w:eastAsiaTheme="minorEastAsia"/>
                <w:lang w:val="en-US" w:eastAsia="zh-CN"/>
              </w:rPr>
            </w:pPr>
            <w:r>
              <w:rPr>
                <w:rFonts w:hint="eastAsia" w:eastAsiaTheme="minor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14" w:hRule="atLeast"/>
          <w:jc w:val="center"/>
        </w:trPr>
        <w:tc>
          <w:tcPr>
            <w:tcW w:w="3562"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jc w:val="left"/>
              <w:textAlignment w:val="auto"/>
            </w:pPr>
            <w:r>
              <w:rPr>
                <w:rFonts w:hint="eastAsia" w:ascii="宋体" w:hAnsi="宋体" w:eastAsia="宋体" w:cs="宋体"/>
                <w:kern w:val="0"/>
                <w:sz w:val="20"/>
                <w:szCs w:val="20"/>
              </w:rPr>
              <w:t>四、结转下年度继续办理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eastAsiaTheme="minorEastAsia"/>
                <w:lang w:val="en-US" w:eastAsia="zh-CN"/>
              </w:rPr>
            </w:pPr>
            <w:r>
              <w:rPr>
                <w:rFonts w:hint="eastAsia" w:eastAsiaTheme="minorEastAsia"/>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四、政府信息公开行政复议、行政诉讼情况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textAlignment w:val="auto"/>
              <w:rPr>
                <w:rFonts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五、存在的主要问题及改进情况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2020年，市应急管理局政府信息公开工作取得了明显的进步，公开质量不断提高，但也还存在一些不足：</w:t>
      </w:r>
      <w:r>
        <w:rPr>
          <w:rFonts w:hint="eastAsia" w:ascii="楷体_GB2312" w:hAnsi="楷体_GB2312" w:eastAsia="楷体_GB2312" w:cs="楷体_GB2312"/>
          <w:color w:val="auto"/>
          <w:kern w:val="2"/>
          <w:sz w:val="32"/>
          <w:szCs w:val="32"/>
          <w:lang w:val="en-US" w:eastAsia="zh-CN" w:bidi="ar-SA"/>
        </w:rPr>
        <w:t>一是</w:t>
      </w:r>
      <w:r>
        <w:rPr>
          <w:rFonts w:hint="eastAsia" w:ascii="仿宋_GB2312" w:hAnsi="仿宋_GB2312" w:eastAsia="仿宋_GB2312" w:cs="仿宋_GB2312"/>
          <w:color w:val="auto"/>
          <w:kern w:val="2"/>
          <w:sz w:val="32"/>
          <w:szCs w:val="32"/>
          <w:lang w:val="en-US" w:eastAsia="zh-CN" w:bidi="ar-SA"/>
        </w:rPr>
        <w:t>平台的部分栏目设置还不够科学；</w:t>
      </w:r>
      <w:r>
        <w:rPr>
          <w:rFonts w:hint="eastAsia" w:ascii="楷体_GB2312" w:hAnsi="楷体_GB2312" w:eastAsia="楷体_GB2312" w:cs="楷体_GB2312"/>
          <w:color w:val="auto"/>
          <w:kern w:val="2"/>
          <w:sz w:val="32"/>
          <w:szCs w:val="32"/>
          <w:lang w:val="en-US" w:eastAsia="zh-CN" w:bidi="ar-SA"/>
        </w:rPr>
        <w:t>二是</w:t>
      </w:r>
      <w:r>
        <w:rPr>
          <w:rFonts w:hint="eastAsia" w:ascii="仿宋_GB2312" w:hAnsi="仿宋_GB2312" w:eastAsia="仿宋_GB2312" w:cs="仿宋_GB2312"/>
          <w:color w:val="auto"/>
          <w:kern w:val="2"/>
          <w:sz w:val="32"/>
          <w:szCs w:val="32"/>
          <w:lang w:val="en-US" w:eastAsia="zh-CN" w:bidi="ar-SA"/>
        </w:rPr>
        <w:t>政府信息公开的内容还不够全面；</w:t>
      </w:r>
      <w:r>
        <w:rPr>
          <w:rFonts w:hint="eastAsia" w:ascii="楷体_GB2312" w:hAnsi="楷体_GB2312" w:eastAsia="楷体_GB2312" w:cs="楷体_GB2312"/>
          <w:color w:val="auto"/>
          <w:kern w:val="2"/>
          <w:sz w:val="32"/>
          <w:szCs w:val="32"/>
          <w:lang w:val="en-US" w:eastAsia="zh-CN" w:bidi="ar-SA"/>
        </w:rPr>
        <w:t>三是</w:t>
      </w:r>
      <w:r>
        <w:rPr>
          <w:rFonts w:hint="eastAsia" w:ascii="仿宋_GB2312" w:hAnsi="仿宋_GB2312" w:eastAsia="仿宋_GB2312" w:cs="仿宋_GB2312"/>
          <w:color w:val="auto"/>
          <w:kern w:val="2"/>
          <w:sz w:val="32"/>
          <w:szCs w:val="32"/>
          <w:lang w:val="en-US" w:eastAsia="zh-CN" w:bidi="ar-SA"/>
        </w:rPr>
        <w:t>机关各科室和局属各单位的政府信息公开意识有待进一步提高。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下一步，我局将继续认真按照国家、省、市的要求部署，采取有效措施，深入推进政府信息公开工作。</w:t>
      </w:r>
      <w:r>
        <w:rPr>
          <w:rFonts w:hint="eastAsia" w:ascii="楷体_GB2312" w:hAnsi="楷体_GB2312" w:eastAsia="楷体_GB2312" w:cs="楷体_GB2312"/>
          <w:color w:val="auto"/>
          <w:kern w:val="2"/>
          <w:sz w:val="32"/>
          <w:szCs w:val="32"/>
          <w:lang w:val="en-US" w:eastAsia="zh-CN" w:bidi="ar-SA"/>
        </w:rPr>
        <w:t>一是</w:t>
      </w:r>
      <w:r>
        <w:rPr>
          <w:rFonts w:hint="eastAsia" w:ascii="仿宋_GB2312" w:hAnsi="仿宋_GB2312" w:eastAsia="仿宋_GB2312" w:cs="仿宋_GB2312"/>
          <w:color w:val="auto"/>
          <w:kern w:val="2"/>
          <w:sz w:val="32"/>
          <w:szCs w:val="32"/>
          <w:lang w:val="en-US" w:eastAsia="zh-CN" w:bidi="ar-SA"/>
        </w:rPr>
        <w:t>加强学习力度，进一步提高全局干部职工对政府信息公开工作的认识，提升工作责任感；</w:t>
      </w:r>
      <w:r>
        <w:rPr>
          <w:rFonts w:hint="eastAsia" w:ascii="楷体_GB2312" w:hAnsi="楷体_GB2312" w:eastAsia="楷体_GB2312" w:cs="楷体_GB2312"/>
          <w:color w:val="auto"/>
          <w:kern w:val="2"/>
          <w:sz w:val="32"/>
          <w:szCs w:val="32"/>
          <w:lang w:val="en-US" w:eastAsia="zh-CN" w:bidi="ar-SA"/>
        </w:rPr>
        <w:t>二是</w:t>
      </w:r>
      <w:r>
        <w:rPr>
          <w:rFonts w:hint="eastAsia" w:ascii="仿宋_GB2312" w:hAnsi="仿宋_GB2312" w:eastAsia="仿宋_GB2312" w:cs="仿宋_GB2312"/>
          <w:color w:val="auto"/>
          <w:kern w:val="2"/>
          <w:sz w:val="32"/>
          <w:szCs w:val="32"/>
          <w:lang w:val="en-US" w:eastAsia="zh-CN" w:bidi="ar-SA"/>
        </w:rPr>
        <w:t>强化组织领导，进一步完善工作机制，确保信息公开的质量和效率；</w:t>
      </w:r>
      <w:r>
        <w:rPr>
          <w:rFonts w:hint="eastAsia" w:ascii="楷体_GB2312" w:hAnsi="楷体_GB2312" w:eastAsia="楷体_GB2312" w:cs="楷体_GB2312"/>
          <w:color w:val="auto"/>
          <w:kern w:val="2"/>
          <w:sz w:val="32"/>
          <w:szCs w:val="32"/>
          <w:lang w:val="en-US" w:eastAsia="zh-CN" w:bidi="ar-SA"/>
        </w:rPr>
        <w:t>三是</w:t>
      </w:r>
      <w:r>
        <w:rPr>
          <w:rFonts w:hint="eastAsia" w:ascii="仿宋_GB2312" w:hAnsi="仿宋_GB2312" w:eastAsia="仿宋_GB2312" w:cs="仿宋_GB2312"/>
          <w:color w:val="auto"/>
          <w:kern w:val="2"/>
          <w:sz w:val="32"/>
          <w:szCs w:val="32"/>
          <w:lang w:val="en-US" w:eastAsia="zh-CN" w:bidi="ar-SA"/>
        </w:rPr>
        <w:t>丰富公开内容，进一步加强对公众关注度高的政府信息的梳理，有效扩大公开信息的覆盖面。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六、其他需要报告的事项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无</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B0A37"/>
    <w:rsid w:val="01AC4D9E"/>
    <w:rsid w:val="056B4F27"/>
    <w:rsid w:val="0744318A"/>
    <w:rsid w:val="08F35FB6"/>
    <w:rsid w:val="0AC80EEF"/>
    <w:rsid w:val="0C4249CC"/>
    <w:rsid w:val="0CC45495"/>
    <w:rsid w:val="0CD05612"/>
    <w:rsid w:val="0D314103"/>
    <w:rsid w:val="0DC738B5"/>
    <w:rsid w:val="0E652FD8"/>
    <w:rsid w:val="106E1677"/>
    <w:rsid w:val="10C07E4A"/>
    <w:rsid w:val="14EC0996"/>
    <w:rsid w:val="150570E8"/>
    <w:rsid w:val="16AA3440"/>
    <w:rsid w:val="1A835F9D"/>
    <w:rsid w:val="1B3B286B"/>
    <w:rsid w:val="1D4101DB"/>
    <w:rsid w:val="200E6EBB"/>
    <w:rsid w:val="20E90A7F"/>
    <w:rsid w:val="21815D73"/>
    <w:rsid w:val="22277832"/>
    <w:rsid w:val="241E6319"/>
    <w:rsid w:val="25CF5B98"/>
    <w:rsid w:val="263246D1"/>
    <w:rsid w:val="27E44DB9"/>
    <w:rsid w:val="2AFB6308"/>
    <w:rsid w:val="2B6F70EF"/>
    <w:rsid w:val="2D71188F"/>
    <w:rsid w:val="2EFB1909"/>
    <w:rsid w:val="2F3E31D1"/>
    <w:rsid w:val="2F8B7E29"/>
    <w:rsid w:val="30073AB1"/>
    <w:rsid w:val="307B0568"/>
    <w:rsid w:val="30855419"/>
    <w:rsid w:val="313658DB"/>
    <w:rsid w:val="325C7C7A"/>
    <w:rsid w:val="32EC3F46"/>
    <w:rsid w:val="339509F4"/>
    <w:rsid w:val="33B20201"/>
    <w:rsid w:val="353D27D3"/>
    <w:rsid w:val="35F709D7"/>
    <w:rsid w:val="370632C1"/>
    <w:rsid w:val="38E31A2C"/>
    <w:rsid w:val="3A061E75"/>
    <w:rsid w:val="3B2C4AFE"/>
    <w:rsid w:val="3D8B2C3A"/>
    <w:rsid w:val="406F1D7B"/>
    <w:rsid w:val="40DB64AA"/>
    <w:rsid w:val="411C1141"/>
    <w:rsid w:val="42380D4D"/>
    <w:rsid w:val="426F1267"/>
    <w:rsid w:val="42E60F49"/>
    <w:rsid w:val="45473545"/>
    <w:rsid w:val="46D528C5"/>
    <w:rsid w:val="46F76770"/>
    <w:rsid w:val="472A44DF"/>
    <w:rsid w:val="496823C9"/>
    <w:rsid w:val="499A767A"/>
    <w:rsid w:val="49A50591"/>
    <w:rsid w:val="4A0D232A"/>
    <w:rsid w:val="4B3A6931"/>
    <w:rsid w:val="4C0732C0"/>
    <w:rsid w:val="4D551F23"/>
    <w:rsid w:val="4E2D2643"/>
    <w:rsid w:val="50BB4AF3"/>
    <w:rsid w:val="518841C4"/>
    <w:rsid w:val="520E4C7E"/>
    <w:rsid w:val="52296141"/>
    <w:rsid w:val="52BE32F8"/>
    <w:rsid w:val="55A41856"/>
    <w:rsid w:val="55C34034"/>
    <w:rsid w:val="56371A91"/>
    <w:rsid w:val="57D358DC"/>
    <w:rsid w:val="58D60C50"/>
    <w:rsid w:val="5A825B70"/>
    <w:rsid w:val="5B246C4C"/>
    <w:rsid w:val="5BEB51A2"/>
    <w:rsid w:val="5C501853"/>
    <w:rsid w:val="5CBD78D5"/>
    <w:rsid w:val="5CF1786C"/>
    <w:rsid w:val="5D0609AB"/>
    <w:rsid w:val="610D5EAA"/>
    <w:rsid w:val="61AC08D2"/>
    <w:rsid w:val="61CF453B"/>
    <w:rsid w:val="62437B72"/>
    <w:rsid w:val="64C139C7"/>
    <w:rsid w:val="65A444AB"/>
    <w:rsid w:val="67037BFB"/>
    <w:rsid w:val="6833033D"/>
    <w:rsid w:val="6AE869C7"/>
    <w:rsid w:val="6D3B692F"/>
    <w:rsid w:val="70BD586F"/>
    <w:rsid w:val="71147B6D"/>
    <w:rsid w:val="71DA4C93"/>
    <w:rsid w:val="71E00367"/>
    <w:rsid w:val="73146DF7"/>
    <w:rsid w:val="73734394"/>
    <w:rsid w:val="76066EA8"/>
    <w:rsid w:val="76DD055F"/>
    <w:rsid w:val="772F5D22"/>
    <w:rsid w:val="77A65D34"/>
    <w:rsid w:val="77B879A0"/>
    <w:rsid w:val="792C2F4F"/>
    <w:rsid w:val="7BD43C71"/>
    <w:rsid w:val="7D5A6CFF"/>
    <w:rsid w:val="7E602260"/>
    <w:rsid w:val="7E79112C"/>
    <w:rsid w:val="7ED75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pPr>
      <w:spacing w:line="576" w:lineRule="exact"/>
    </w:pPr>
    <w:rPr>
      <w:rFonts w:hint="eastAsia" w:ascii="宋体" w:hAnsi="Courier New"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3</cp:lastModifiedBy>
  <cp:lastPrinted>2021-01-21T03:14:00Z</cp:lastPrinted>
  <dcterms:modified xsi:type="dcterms:W3CDTF">2021-01-26T08:35:22Z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