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DEC" w:rsidRPr="00500C7A" w:rsidRDefault="00340DEC" w:rsidP="00340DEC">
      <w:pPr>
        <w:rPr>
          <w:rFonts w:ascii="方正黑体简体" w:eastAsia="方正黑体简体" w:hAnsi="方正黑体简体" w:cs="方正小标宋简体"/>
          <w:sz w:val="32"/>
          <w:szCs w:val="32"/>
        </w:rPr>
      </w:pPr>
      <w:r w:rsidRPr="00500C7A">
        <w:rPr>
          <w:rFonts w:ascii="方正黑体简体" w:eastAsia="方正黑体简体" w:hAnsi="方正黑体简体" w:cs="方正小标宋简体" w:hint="eastAsia"/>
          <w:sz w:val="32"/>
          <w:szCs w:val="32"/>
        </w:rPr>
        <w:t>附件5</w:t>
      </w:r>
    </w:p>
    <w:p w:rsidR="00340DEC" w:rsidRDefault="00340DEC" w:rsidP="00500C7A">
      <w:pPr>
        <w:jc w:val="center"/>
      </w:pPr>
      <w:r>
        <w:rPr>
          <w:rFonts w:ascii="方正小标宋简体" w:eastAsia="方正小标宋简体" w:hAnsi="方正小标宋简体" w:cs="方正小标宋简体" w:hint="eastAsia"/>
          <w:color w:val="000000"/>
          <w:sz w:val="44"/>
          <w:szCs w:val="44"/>
        </w:rPr>
        <w:t>上饶市基本医疗保险定点评估细则</w:t>
      </w:r>
      <w:r>
        <w:rPr>
          <w:rFonts w:ascii="方正小标宋简体" w:eastAsia="方正小标宋简体" w:hAnsi="方正小标宋简体" w:cs="方正小标宋简体" w:hint="eastAsia"/>
          <w:sz w:val="44"/>
          <w:szCs w:val="44"/>
        </w:rPr>
        <w:t>（一级医疗机构、总分100分）</w:t>
      </w:r>
    </w:p>
    <w:p w:rsidR="00340DEC" w:rsidRDefault="00340DEC" w:rsidP="00340DEC"/>
    <w:tbl>
      <w:tblPr>
        <w:tblW w:w="0" w:type="auto"/>
        <w:tblLayout w:type="fixed"/>
        <w:tblCellMar>
          <w:top w:w="15" w:type="dxa"/>
          <w:left w:w="15" w:type="dxa"/>
          <w:bottom w:w="15" w:type="dxa"/>
          <w:right w:w="15" w:type="dxa"/>
        </w:tblCellMar>
        <w:tblLook w:val="0000" w:firstRow="0" w:lastRow="0" w:firstColumn="0" w:lastColumn="0" w:noHBand="0" w:noVBand="0"/>
      </w:tblPr>
      <w:tblGrid>
        <w:gridCol w:w="267"/>
        <w:gridCol w:w="432"/>
        <w:gridCol w:w="756"/>
        <w:gridCol w:w="3451"/>
        <w:gridCol w:w="418"/>
        <w:gridCol w:w="1997"/>
        <w:gridCol w:w="6819"/>
      </w:tblGrid>
      <w:tr w:rsidR="00340DEC" w:rsidTr="00C323B1">
        <w:trPr>
          <w:trHeight w:val="417"/>
        </w:trPr>
        <w:tc>
          <w:tcPr>
            <w:tcW w:w="267"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序号</w:t>
            </w:r>
          </w:p>
        </w:tc>
        <w:tc>
          <w:tcPr>
            <w:tcW w:w="1188" w:type="dxa"/>
            <w:gridSpan w:val="2"/>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评估项目</w:t>
            </w:r>
          </w:p>
        </w:tc>
        <w:tc>
          <w:tcPr>
            <w:tcW w:w="3451"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评估标准</w:t>
            </w:r>
          </w:p>
        </w:tc>
        <w:tc>
          <w:tcPr>
            <w:tcW w:w="418"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评估得分</w:t>
            </w:r>
          </w:p>
        </w:tc>
        <w:tc>
          <w:tcPr>
            <w:tcW w:w="1997"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得分或扣分说明</w:t>
            </w:r>
          </w:p>
        </w:tc>
        <w:tc>
          <w:tcPr>
            <w:tcW w:w="6819"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备注</w:t>
            </w:r>
          </w:p>
        </w:tc>
      </w:tr>
      <w:tr w:rsidR="00340DEC" w:rsidTr="00C323B1">
        <w:trPr>
          <w:trHeight w:val="474"/>
        </w:trPr>
        <w:tc>
          <w:tcPr>
            <w:tcW w:w="267"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432" w:type="dxa"/>
            <w:vMerge w:val="restart"/>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规划布局</w:t>
            </w:r>
            <w:r>
              <w:rPr>
                <w:rFonts w:ascii="宋体" w:hAnsi="宋体" w:cs="宋体" w:hint="eastAsia"/>
                <w:color w:val="000000"/>
                <w:kern w:val="0"/>
                <w:sz w:val="20"/>
                <w:szCs w:val="20"/>
                <w:lang w:bidi="ar"/>
              </w:rPr>
              <w:br/>
              <w:t>（8分）</w:t>
            </w:r>
          </w:p>
        </w:tc>
        <w:tc>
          <w:tcPr>
            <w:tcW w:w="756"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开业时间（4分）</w:t>
            </w:r>
          </w:p>
        </w:tc>
        <w:tc>
          <w:tcPr>
            <w:tcW w:w="3451"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（1）3个月（含3个月）以上，得4分；</w:t>
            </w:r>
          </w:p>
        </w:tc>
        <w:tc>
          <w:tcPr>
            <w:tcW w:w="418"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1997"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6819"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1、以《医疗机构执业许可证》上的日期为准；2、如果期间证件有变更的，以提供的最早的《医疗机构执业许可证》、《组织机构代码证》或行政部门“变更手续”等印证资料为准；3、计算时间截止至两定评估报名截止时间：1、开业不足3个月的，直接评定为不予准入。</w:t>
            </w:r>
          </w:p>
        </w:tc>
      </w:tr>
      <w:tr w:rsidR="00340DEC" w:rsidTr="00C323B1">
        <w:trPr>
          <w:trHeight w:val="360"/>
        </w:trPr>
        <w:tc>
          <w:tcPr>
            <w:tcW w:w="267" w:type="dxa"/>
            <w:vMerge w:val="restart"/>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432"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756" w:type="dxa"/>
            <w:vMerge w:val="restart"/>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营业场所使用时间   （4分）</w:t>
            </w:r>
          </w:p>
        </w:tc>
        <w:tc>
          <w:tcPr>
            <w:tcW w:w="3451"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（1）根据租赁合同的有效期和房产证确定，剩余使用期限在5年以上的，得4分；</w:t>
            </w:r>
          </w:p>
        </w:tc>
        <w:tc>
          <w:tcPr>
            <w:tcW w:w="418" w:type="dxa"/>
            <w:vMerge w:val="restart"/>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FF0000"/>
                <w:sz w:val="20"/>
                <w:szCs w:val="20"/>
              </w:rPr>
            </w:pPr>
          </w:p>
        </w:tc>
        <w:tc>
          <w:tcPr>
            <w:tcW w:w="1997" w:type="dxa"/>
            <w:vMerge w:val="restart"/>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6819" w:type="dxa"/>
            <w:vMerge w:val="restart"/>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1.</w:t>
            </w:r>
            <w:r w:rsidR="006D1141">
              <w:rPr>
                <w:rFonts w:ascii="宋体" w:hAnsi="宋体" w:cs="宋体" w:hint="eastAsia"/>
                <w:color w:val="000000"/>
                <w:kern w:val="0"/>
                <w:sz w:val="20"/>
                <w:szCs w:val="20"/>
                <w:lang w:bidi="ar"/>
              </w:rPr>
              <w:t>根据租赁</w:t>
            </w:r>
            <w:bookmarkStart w:id="0" w:name="_GoBack"/>
            <w:bookmarkEnd w:id="0"/>
            <w:r>
              <w:rPr>
                <w:rFonts w:ascii="宋体" w:hAnsi="宋体" w:cs="宋体" w:hint="eastAsia"/>
                <w:color w:val="000000"/>
                <w:kern w:val="0"/>
                <w:sz w:val="20"/>
                <w:szCs w:val="20"/>
                <w:lang w:bidi="ar"/>
              </w:rPr>
              <w:t>合同的有效期和房产证确定，依据剩余使用期限为评分标准：2、计算时间截止至两定评估报名截止时间。</w:t>
            </w:r>
          </w:p>
        </w:tc>
      </w:tr>
      <w:tr w:rsidR="00340DEC" w:rsidTr="00C323B1">
        <w:trPr>
          <w:trHeight w:val="339"/>
        </w:trPr>
        <w:tc>
          <w:tcPr>
            <w:tcW w:w="267"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432"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756"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3451"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（2）根据租赁合同的有效期和房产证确定，剩余使用期限在3年至5年的，得3分；</w:t>
            </w:r>
          </w:p>
        </w:tc>
        <w:tc>
          <w:tcPr>
            <w:tcW w:w="418"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FF0000"/>
                <w:sz w:val="20"/>
                <w:szCs w:val="20"/>
              </w:rPr>
            </w:pPr>
          </w:p>
        </w:tc>
        <w:tc>
          <w:tcPr>
            <w:tcW w:w="1997"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6819"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rPr>
                <w:rFonts w:ascii="宋体" w:hAnsi="宋体" w:cs="宋体"/>
                <w:color w:val="000000"/>
                <w:sz w:val="20"/>
                <w:szCs w:val="20"/>
              </w:rPr>
            </w:pPr>
          </w:p>
        </w:tc>
      </w:tr>
      <w:tr w:rsidR="00340DEC" w:rsidTr="00C323B1">
        <w:trPr>
          <w:trHeight w:val="322"/>
        </w:trPr>
        <w:tc>
          <w:tcPr>
            <w:tcW w:w="267"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432"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756"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3451"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（3）根据租赁合同的有效期和房产证确定，剩余使用期限在2年至3年的，得2分；</w:t>
            </w:r>
          </w:p>
        </w:tc>
        <w:tc>
          <w:tcPr>
            <w:tcW w:w="418"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FF0000"/>
                <w:sz w:val="20"/>
                <w:szCs w:val="20"/>
              </w:rPr>
            </w:pPr>
          </w:p>
        </w:tc>
        <w:tc>
          <w:tcPr>
            <w:tcW w:w="1997"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6819"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rPr>
                <w:rFonts w:ascii="宋体" w:hAnsi="宋体" w:cs="宋体"/>
                <w:color w:val="000000"/>
                <w:sz w:val="20"/>
                <w:szCs w:val="20"/>
              </w:rPr>
            </w:pPr>
          </w:p>
        </w:tc>
      </w:tr>
      <w:tr w:rsidR="00340DEC" w:rsidTr="00C323B1">
        <w:trPr>
          <w:trHeight w:val="325"/>
        </w:trPr>
        <w:tc>
          <w:tcPr>
            <w:tcW w:w="267"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432"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756"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3451"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（4）根据租赁合同的有效期和房产证确定，剩余使用期限在2年以内的，得1分。</w:t>
            </w:r>
          </w:p>
        </w:tc>
        <w:tc>
          <w:tcPr>
            <w:tcW w:w="418"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FF0000"/>
                <w:sz w:val="20"/>
                <w:szCs w:val="20"/>
              </w:rPr>
            </w:pPr>
          </w:p>
        </w:tc>
        <w:tc>
          <w:tcPr>
            <w:tcW w:w="1997"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6819"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rPr>
                <w:rFonts w:ascii="宋体" w:hAnsi="宋体" w:cs="宋体"/>
                <w:color w:val="000000"/>
                <w:sz w:val="20"/>
                <w:szCs w:val="20"/>
              </w:rPr>
            </w:pPr>
          </w:p>
        </w:tc>
      </w:tr>
      <w:tr w:rsidR="00340DEC" w:rsidTr="00C323B1">
        <w:trPr>
          <w:trHeight w:val="197"/>
        </w:trPr>
        <w:tc>
          <w:tcPr>
            <w:tcW w:w="267" w:type="dxa"/>
            <w:vMerge w:val="restart"/>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w:t>
            </w:r>
          </w:p>
        </w:tc>
        <w:tc>
          <w:tcPr>
            <w:tcW w:w="432" w:type="dxa"/>
            <w:vMerge w:val="restart"/>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服务能力（25分）</w:t>
            </w:r>
          </w:p>
        </w:tc>
        <w:tc>
          <w:tcPr>
            <w:tcW w:w="756" w:type="dxa"/>
            <w:vMerge w:val="restart"/>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临床科室数量（3分） </w:t>
            </w:r>
          </w:p>
        </w:tc>
        <w:tc>
          <w:tcPr>
            <w:tcW w:w="3451"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（1）6个及以上，得3分；</w:t>
            </w:r>
          </w:p>
        </w:tc>
        <w:tc>
          <w:tcPr>
            <w:tcW w:w="418" w:type="dxa"/>
            <w:vMerge w:val="restart"/>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1997" w:type="dxa"/>
            <w:vMerge w:val="restart"/>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6819" w:type="dxa"/>
            <w:vMerge w:val="restart"/>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1、根据《医疗机构执业许可证》、或设置批复文件、或增减科室上的内容对照各级医疗机构评分标准进行评分；2、2个以内（含2个）不得分。</w:t>
            </w:r>
          </w:p>
        </w:tc>
      </w:tr>
      <w:tr w:rsidR="00340DEC" w:rsidTr="00C323B1">
        <w:trPr>
          <w:trHeight w:val="204"/>
        </w:trPr>
        <w:tc>
          <w:tcPr>
            <w:tcW w:w="267"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432"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756"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3451"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（2）4个至5个，得2分；</w:t>
            </w:r>
          </w:p>
        </w:tc>
        <w:tc>
          <w:tcPr>
            <w:tcW w:w="418"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1997"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6819"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rPr>
                <w:rFonts w:ascii="宋体" w:hAnsi="宋体" w:cs="宋体"/>
                <w:color w:val="000000"/>
                <w:sz w:val="20"/>
                <w:szCs w:val="20"/>
              </w:rPr>
            </w:pPr>
          </w:p>
        </w:tc>
      </w:tr>
      <w:tr w:rsidR="00340DEC" w:rsidTr="00C323B1">
        <w:trPr>
          <w:trHeight w:val="190"/>
        </w:trPr>
        <w:tc>
          <w:tcPr>
            <w:tcW w:w="267"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432"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756"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3451"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（3）3个，得1分。</w:t>
            </w:r>
          </w:p>
        </w:tc>
        <w:tc>
          <w:tcPr>
            <w:tcW w:w="418"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1997"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6819"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rPr>
                <w:rFonts w:ascii="宋体" w:hAnsi="宋体" w:cs="宋体"/>
                <w:color w:val="000000"/>
                <w:sz w:val="20"/>
                <w:szCs w:val="20"/>
              </w:rPr>
            </w:pPr>
          </w:p>
        </w:tc>
      </w:tr>
      <w:tr w:rsidR="00340DEC" w:rsidTr="00C323B1">
        <w:trPr>
          <w:trHeight w:val="282"/>
        </w:trPr>
        <w:tc>
          <w:tcPr>
            <w:tcW w:w="267" w:type="dxa"/>
            <w:vMerge w:val="restart"/>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w:t>
            </w:r>
          </w:p>
        </w:tc>
        <w:tc>
          <w:tcPr>
            <w:tcW w:w="432"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756" w:type="dxa"/>
            <w:vMerge w:val="restart"/>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医保药品种数（总数）（4分） </w:t>
            </w:r>
          </w:p>
        </w:tc>
        <w:tc>
          <w:tcPr>
            <w:tcW w:w="3451"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（1）400种（含400种）以上，得4分；</w:t>
            </w:r>
          </w:p>
        </w:tc>
        <w:tc>
          <w:tcPr>
            <w:tcW w:w="418" w:type="dxa"/>
            <w:vMerge w:val="restart"/>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1997" w:type="dxa"/>
            <w:vMerge w:val="restart"/>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6819" w:type="dxa"/>
            <w:vMerge w:val="restart"/>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1、非医保药品不计算在内；2、书面评估根据申报单位提供的医保药品种数清单进行评分，现场评估调取信息系统中药品数据评分；3、不同规格、不同剂型的药品，各算一种。相同通用名称、剂型、规格的药品，不同生产厂家，只算一个品种。比如阿莫西林片剂0.5克，阿莫西林胶囊0.5克，是两个品种；阿莫西林胶囊0.25克、0.5克，是两个品种；阿莫西林胶囊0.25克，无论是哪个厂家生产的，都只算0.25克阿莫西林胶囊这一个品种；4、规格是指药品说明书上的规格，不是“包装规格”，如药品说明书上“规格”都是0.5克的阿莫西林胶囊，无论是12粒包装、24粒包装、36粒包装，都是0.5克的同一个规格。</w:t>
            </w:r>
          </w:p>
        </w:tc>
      </w:tr>
      <w:tr w:rsidR="00340DEC" w:rsidTr="00C323B1">
        <w:trPr>
          <w:trHeight w:val="339"/>
        </w:trPr>
        <w:tc>
          <w:tcPr>
            <w:tcW w:w="267"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432"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756"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3451"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（2）150种（含150种）至400种，得3分；</w:t>
            </w:r>
          </w:p>
        </w:tc>
        <w:tc>
          <w:tcPr>
            <w:tcW w:w="418"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1997"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6819"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rPr>
                <w:rFonts w:ascii="宋体" w:hAnsi="宋体" w:cs="宋体"/>
                <w:color w:val="000000"/>
                <w:sz w:val="20"/>
                <w:szCs w:val="20"/>
              </w:rPr>
            </w:pPr>
          </w:p>
        </w:tc>
      </w:tr>
      <w:tr w:rsidR="00340DEC" w:rsidTr="00C323B1">
        <w:trPr>
          <w:trHeight w:val="211"/>
        </w:trPr>
        <w:tc>
          <w:tcPr>
            <w:tcW w:w="267"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432"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756"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3451"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（3）150种以下，得2分；</w:t>
            </w:r>
          </w:p>
        </w:tc>
        <w:tc>
          <w:tcPr>
            <w:tcW w:w="418"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1997"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6819"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rPr>
                <w:rFonts w:ascii="宋体" w:hAnsi="宋体" w:cs="宋体"/>
                <w:color w:val="000000"/>
                <w:sz w:val="20"/>
                <w:szCs w:val="20"/>
              </w:rPr>
            </w:pPr>
          </w:p>
        </w:tc>
      </w:tr>
      <w:tr w:rsidR="00340DEC" w:rsidTr="00C323B1">
        <w:trPr>
          <w:trHeight w:val="247"/>
        </w:trPr>
        <w:tc>
          <w:tcPr>
            <w:tcW w:w="267" w:type="dxa"/>
            <w:vMerge w:val="restart"/>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c>
          <w:tcPr>
            <w:tcW w:w="432"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756" w:type="dxa"/>
            <w:vMerge w:val="restart"/>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诊疗项目种数 （3分）</w:t>
            </w:r>
          </w:p>
        </w:tc>
        <w:tc>
          <w:tcPr>
            <w:tcW w:w="3451"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（1）200种（含200种）以上，得3分；</w:t>
            </w:r>
          </w:p>
        </w:tc>
        <w:tc>
          <w:tcPr>
            <w:tcW w:w="418" w:type="dxa"/>
            <w:vMerge w:val="restart"/>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1997" w:type="dxa"/>
            <w:vMerge w:val="restart"/>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6819" w:type="dxa"/>
            <w:vMerge w:val="restart"/>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1、书面评估根据申报单位提供的诊疗项目清单，对照各级医疗机构得分标准进行评分；2、现场评估根据医疗管理系统中诊疗收费项目数进行评分。</w:t>
            </w:r>
          </w:p>
        </w:tc>
      </w:tr>
      <w:tr w:rsidR="00340DEC" w:rsidTr="00C323B1">
        <w:trPr>
          <w:trHeight w:val="218"/>
        </w:trPr>
        <w:tc>
          <w:tcPr>
            <w:tcW w:w="267"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432"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756"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3451"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（2）100种（含100种）至200种，得2分；</w:t>
            </w:r>
          </w:p>
        </w:tc>
        <w:tc>
          <w:tcPr>
            <w:tcW w:w="418"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1997"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6819"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rPr>
                <w:rFonts w:ascii="宋体" w:hAnsi="宋体" w:cs="宋体"/>
                <w:color w:val="000000"/>
                <w:sz w:val="20"/>
                <w:szCs w:val="20"/>
              </w:rPr>
            </w:pPr>
          </w:p>
        </w:tc>
      </w:tr>
      <w:tr w:rsidR="00340DEC" w:rsidTr="00C323B1">
        <w:trPr>
          <w:trHeight w:val="254"/>
        </w:trPr>
        <w:tc>
          <w:tcPr>
            <w:tcW w:w="267"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432"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756"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3451"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（3）100种以下，得1分。</w:t>
            </w:r>
          </w:p>
        </w:tc>
        <w:tc>
          <w:tcPr>
            <w:tcW w:w="418"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1997"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6819"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rPr>
                <w:rFonts w:ascii="宋体" w:hAnsi="宋体" w:cs="宋体"/>
                <w:color w:val="000000"/>
                <w:sz w:val="20"/>
                <w:szCs w:val="20"/>
              </w:rPr>
            </w:pPr>
          </w:p>
        </w:tc>
      </w:tr>
      <w:tr w:rsidR="00340DEC" w:rsidTr="00C323B1">
        <w:trPr>
          <w:trHeight w:val="474"/>
        </w:trPr>
        <w:tc>
          <w:tcPr>
            <w:tcW w:w="267" w:type="dxa"/>
            <w:vMerge w:val="restart"/>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w:t>
            </w:r>
          </w:p>
        </w:tc>
        <w:tc>
          <w:tcPr>
            <w:tcW w:w="432"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756" w:type="dxa"/>
            <w:vMerge w:val="restart"/>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医务人员配比</w:t>
            </w:r>
            <w:r>
              <w:rPr>
                <w:rFonts w:ascii="宋体" w:hAnsi="宋体" w:cs="宋体" w:hint="eastAsia"/>
                <w:color w:val="000000"/>
                <w:kern w:val="0"/>
                <w:sz w:val="20"/>
                <w:szCs w:val="20"/>
                <w:lang w:bidi="ar"/>
              </w:rPr>
              <w:lastRenderedPageBreak/>
              <w:t>（4分）</w:t>
            </w:r>
          </w:p>
        </w:tc>
        <w:tc>
          <w:tcPr>
            <w:tcW w:w="3451"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（1）每床配备0.9名以上（含0.9名）卫生技术人员；6名以上医师，7名以上护士；1名具有主治医师以上职</w:t>
            </w:r>
            <w:r>
              <w:rPr>
                <w:rFonts w:ascii="宋体" w:hAnsi="宋体" w:cs="宋体" w:hint="eastAsia"/>
                <w:color w:val="000000"/>
                <w:kern w:val="0"/>
                <w:sz w:val="20"/>
                <w:szCs w:val="20"/>
                <w:lang w:bidi="ar"/>
              </w:rPr>
              <w:lastRenderedPageBreak/>
              <w:t>称的医师，得4分（一项未达到扣0.5分，两项未达到扣1分）；</w:t>
            </w:r>
          </w:p>
        </w:tc>
        <w:tc>
          <w:tcPr>
            <w:tcW w:w="418" w:type="dxa"/>
            <w:vMerge w:val="restart"/>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1997" w:type="dxa"/>
            <w:vMerge w:val="restart"/>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6819" w:type="dxa"/>
            <w:vMerge w:val="restart"/>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1、根据申报单位提供的相关人员证件计算配比；2、执业医师以执业医师注册证为准，检查证件上的注册单位，前两位执业点必须在本医疗机构，否则不予认可。</w:t>
            </w:r>
          </w:p>
        </w:tc>
      </w:tr>
      <w:tr w:rsidR="00340DEC" w:rsidTr="00C323B1">
        <w:trPr>
          <w:trHeight w:val="495"/>
        </w:trPr>
        <w:tc>
          <w:tcPr>
            <w:tcW w:w="267"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432"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756"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3451"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（2）每床配备0.7至0.9名（含0.7名）卫生技术人员；</w:t>
            </w:r>
            <w:r>
              <w:rPr>
                <w:rFonts w:ascii="宋体" w:hAnsi="宋体" w:cs="宋体" w:hint="eastAsia"/>
                <w:color w:val="000000"/>
                <w:kern w:val="0"/>
                <w:sz w:val="20"/>
                <w:szCs w:val="20"/>
                <w:lang w:bidi="ar"/>
              </w:rPr>
              <w:br/>
              <w:t>有3至5名医师、4至6名护士，1名具有主治医师以上职称的医师，3分（一项未达到扣0.5分，两项未达到扣1分）；</w:t>
            </w:r>
          </w:p>
        </w:tc>
        <w:tc>
          <w:tcPr>
            <w:tcW w:w="418"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1997"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6819"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rPr>
                <w:rFonts w:ascii="宋体" w:hAnsi="宋体" w:cs="宋体"/>
                <w:color w:val="000000"/>
                <w:sz w:val="20"/>
                <w:szCs w:val="20"/>
              </w:rPr>
            </w:pPr>
          </w:p>
        </w:tc>
      </w:tr>
      <w:tr w:rsidR="00340DEC" w:rsidTr="00C323B1">
        <w:trPr>
          <w:trHeight w:val="474"/>
        </w:trPr>
        <w:tc>
          <w:tcPr>
            <w:tcW w:w="267"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432"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756"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3451"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（3）每床配备0.5至0.7名（含0.5名）卫生技术人员；1名至2名医师、2至3名护士；1名具有主治医师以上职称的医师，得2分（一项未达到扣0.5分，两项未达到扣1分）。</w:t>
            </w:r>
          </w:p>
        </w:tc>
        <w:tc>
          <w:tcPr>
            <w:tcW w:w="418"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1997"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6819"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rPr>
                <w:rFonts w:ascii="宋体" w:hAnsi="宋体" w:cs="宋体"/>
                <w:color w:val="000000"/>
                <w:sz w:val="20"/>
                <w:szCs w:val="20"/>
              </w:rPr>
            </w:pPr>
          </w:p>
        </w:tc>
      </w:tr>
      <w:tr w:rsidR="00340DEC" w:rsidTr="00C323B1">
        <w:trPr>
          <w:trHeight w:val="247"/>
        </w:trPr>
        <w:tc>
          <w:tcPr>
            <w:tcW w:w="267" w:type="dxa"/>
            <w:vMerge w:val="restart"/>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7</w:t>
            </w:r>
          </w:p>
        </w:tc>
        <w:tc>
          <w:tcPr>
            <w:tcW w:w="432"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756" w:type="dxa"/>
            <w:vMerge w:val="restart"/>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注册在本医疗机构并在本医疗机构专职上班的药学专业技术人员  （3分）</w:t>
            </w:r>
          </w:p>
        </w:tc>
        <w:tc>
          <w:tcPr>
            <w:tcW w:w="3451"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（1）3人及以上，得3分；</w:t>
            </w:r>
          </w:p>
        </w:tc>
        <w:tc>
          <w:tcPr>
            <w:tcW w:w="418" w:type="dxa"/>
            <w:vMerge w:val="restart"/>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1997" w:type="dxa"/>
            <w:vMerge w:val="restart"/>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6819" w:type="dxa"/>
            <w:vMerge w:val="restart"/>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以药学专业技术人员与医疗机构聘用合同为准，公立医疗机构以工资表为准。</w:t>
            </w:r>
          </w:p>
        </w:tc>
      </w:tr>
      <w:tr w:rsidR="00340DEC" w:rsidTr="00C323B1">
        <w:trPr>
          <w:trHeight w:val="296"/>
        </w:trPr>
        <w:tc>
          <w:tcPr>
            <w:tcW w:w="267"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432"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756"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3451"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（2）2人，得2分；</w:t>
            </w:r>
          </w:p>
        </w:tc>
        <w:tc>
          <w:tcPr>
            <w:tcW w:w="418"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1997"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6819"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rPr>
                <w:rFonts w:ascii="宋体" w:hAnsi="宋体" w:cs="宋体"/>
                <w:color w:val="000000"/>
                <w:sz w:val="20"/>
                <w:szCs w:val="20"/>
              </w:rPr>
            </w:pPr>
          </w:p>
        </w:tc>
      </w:tr>
      <w:tr w:rsidR="00340DEC" w:rsidTr="00C323B1">
        <w:trPr>
          <w:trHeight w:val="386"/>
        </w:trPr>
        <w:tc>
          <w:tcPr>
            <w:tcW w:w="267"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432"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756"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3451"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（3）1人，得1分。</w:t>
            </w:r>
          </w:p>
        </w:tc>
        <w:tc>
          <w:tcPr>
            <w:tcW w:w="418"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1997"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6819"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rPr>
                <w:rFonts w:ascii="宋体" w:hAnsi="宋体" w:cs="宋体"/>
                <w:color w:val="000000"/>
                <w:sz w:val="20"/>
                <w:szCs w:val="20"/>
              </w:rPr>
            </w:pPr>
          </w:p>
        </w:tc>
      </w:tr>
      <w:tr w:rsidR="00340DEC" w:rsidTr="00C323B1">
        <w:trPr>
          <w:trHeight w:val="438"/>
        </w:trPr>
        <w:tc>
          <w:tcPr>
            <w:tcW w:w="267" w:type="dxa"/>
            <w:vMerge w:val="restart"/>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8</w:t>
            </w:r>
          </w:p>
        </w:tc>
        <w:tc>
          <w:tcPr>
            <w:tcW w:w="432"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756" w:type="dxa"/>
            <w:vMerge w:val="restart"/>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医疗业务用房面积（房屋每床面积标准）（4分）</w:t>
            </w:r>
          </w:p>
        </w:tc>
        <w:tc>
          <w:tcPr>
            <w:tcW w:w="3451"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（1）每床建筑面积55平方米（含55平方米）以上，得4分；</w:t>
            </w:r>
          </w:p>
        </w:tc>
        <w:tc>
          <w:tcPr>
            <w:tcW w:w="418" w:type="dxa"/>
            <w:vMerge w:val="restart"/>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1997" w:type="dxa"/>
            <w:vMerge w:val="restart"/>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6819" w:type="dxa"/>
            <w:vMerge w:val="restart"/>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结合建筑规划平面图、房屋产权证、租赁合同等资料认定，按医疗机构得分标准进行评分。</w:t>
            </w:r>
          </w:p>
        </w:tc>
      </w:tr>
      <w:tr w:rsidR="00340DEC" w:rsidTr="00C323B1">
        <w:trPr>
          <w:trHeight w:val="325"/>
        </w:trPr>
        <w:tc>
          <w:tcPr>
            <w:tcW w:w="267"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432"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756"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3451"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（2）每床建筑面积45平方米（含45平方米）至55平方米，得3分；</w:t>
            </w:r>
          </w:p>
        </w:tc>
        <w:tc>
          <w:tcPr>
            <w:tcW w:w="418"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1997"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6819"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rPr>
                <w:rFonts w:ascii="宋体" w:hAnsi="宋体" w:cs="宋体"/>
                <w:color w:val="000000"/>
                <w:sz w:val="20"/>
                <w:szCs w:val="20"/>
              </w:rPr>
            </w:pPr>
          </w:p>
        </w:tc>
      </w:tr>
      <w:tr w:rsidR="00340DEC" w:rsidTr="00C323B1">
        <w:trPr>
          <w:trHeight w:val="322"/>
        </w:trPr>
        <w:tc>
          <w:tcPr>
            <w:tcW w:w="267"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432"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756"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3451"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（3）每床建筑面积35平方米（含35平方米）至45平方米，得2分。</w:t>
            </w:r>
          </w:p>
        </w:tc>
        <w:tc>
          <w:tcPr>
            <w:tcW w:w="418"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1997"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6819"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rPr>
                <w:rFonts w:ascii="宋体" w:hAnsi="宋体" w:cs="宋体"/>
                <w:color w:val="000000"/>
                <w:sz w:val="20"/>
                <w:szCs w:val="20"/>
              </w:rPr>
            </w:pPr>
          </w:p>
        </w:tc>
      </w:tr>
      <w:tr w:rsidR="00340DEC" w:rsidTr="00C323B1">
        <w:trPr>
          <w:trHeight w:val="225"/>
        </w:trPr>
        <w:tc>
          <w:tcPr>
            <w:tcW w:w="267" w:type="dxa"/>
            <w:vMerge w:val="restart"/>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9</w:t>
            </w:r>
          </w:p>
        </w:tc>
        <w:tc>
          <w:tcPr>
            <w:tcW w:w="432"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756" w:type="dxa"/>
            <w:vMerge w:val="restart"/>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实际开展病床数量   （4分）</w:t>
            </w:r>
          </w:p>
        </w:tc>
        <w:tc>
          <w:tcPr>
            <w:tcW w:w="3451"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（1）50张（含50张）以上，得4分；</w:t>
            </w:r>
          </w:p>
        </w:tc>
        <w:tc>
          <w:tcPr>
            <w:tcW w:w="418" w:type="dxa"/>
            <w:vMerge w:val="restart"/>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1997" w:type="dxa"/>
            <w:vMerge w:val="restart"/>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6819" w:type="dxa"/>
            <w:vMerge w:val="restart"/>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以《医疗机构执业许可证》上核定的数量为准，查看实际开展病床数，如实际开展病床数大于《医疗机构执业许可证》上核定的数量，则不得分。</w:t>
            </w:r>
          </w:p>
        </w:tc>
      </w:tr>
      <w:tr w:rsidR="00340DEC" w:rsidTr="00C323B1">
        <w:trPr>
          <w:trHeight w:val="211"/>
        </w:trPr>
        <w:tc>
          <w:tcPr>
            <w:tcW w:w="267"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432"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756"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3451"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（2）20张（含20张）至50张以内，得3分；</w:t>
            </w:r>
          </w:p>
        </w:tc>
        <w:tc>
          <w:tcPr>
            <w:tcW w:w="418"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1997"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6819"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rPr>
                <w:rFonts w:ascii="宋体" w:hAnsi="宋体" w:cs="宋体"/>
                <w:color w:val="000000"/>
                <w:sz w:val="20"/>
                <w:szCs w:val="20"/>
              </w:rPr>
            </w:pPr>
          </w:p>
        </w:tc>
      </w:tr>
      <w:tr w:rsidR="00340DEC" w:rsidTr="00C323B1">
        <w:trPr>
          <w:trHeight w:val="211"/>
        </w:trPr>
        <w:tc>
          <w:tcPr>
            <w:tcW w:w="267"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432"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756"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3451"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（3）20张以下，得0分。</w:t>
            </w:r>
          </w:p>
        </w:tc>
        <w:tc>
          <w:tcPr>
            <w:tcW w:w="418"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1997"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6819"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rPr>
                <w:rFonts w:ascii="宋体" w:hAnsi="宋体" w:cs="宋体"/>
                <w:color w:val="000000"/>
                <w:sz w:val="20"/>
                <w:szCs w:val="20"/>
              </w:rPr>
            </w:pPr>
          </w:p>
        </w:tc>
      </w:tr>
      <w:tr w:rsidR="00340DEC" w:rsidTr="00C323B1">
        <w:trPr>
          <w:trHeight w:val="346"/>
        </w:trPr>
        <w:tc>
          <w:tcPr>
            <w:tcW w:w="267" w:type="dxa"/>
            <w:vMerge w:val="restart"/>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w:t>
            </w:r>
          </w:p>
        </w:tc>
        <w:tc>
          <w:tcPr>
            <w:tcW w:w="432" w:type="dxa"/>
            <w:vMerge w:val="restart"/>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价格收费</w:t>
            </w:r>
            <w:r>
              <w:rPr>
                <w:rFonts w:ascii="宋体" w:hAnsi="宋体" w:cs="宋体" w:hint="eastAsia"/>
                <w:color w:val="000000"/>
                <w:kern w:val="0"/>
                <w:sz w:val="20"/>
                <w:szCs w:val="20"/>
                <w:lang w:bidi="ar"/>
              </w:rPr>
              <w:br/>
              <w:t>（20分）</w:t>
            </w:r>
          </w:p>
        </w:tc>
        <w:tc>
          <w:tcPr>
            <w:tcW w:w="756" w:type="dxa"/>
            <w:vMerge w:val="restart"/>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药品价格（4分）</w:t>
            </w:r>
          </w:p>
        </w:tc>
        <w:tc>
          <w:tcPr>
            <w:tcW w:w="3451"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（1）随机抽查的20个药品价格均未超过省医药采购服务平台确定的公立医院销售价格的，得4分；</w:t>
            </w:r>
          </w:p>
        </w:tc>
        <w:tc>
          <w:tcPr>
            <w:tcW w:w="418" w:type="dxa"/>
            <w:vMerge w:val="restart"/>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1997" w:type="dxa"/>
            <w:vMerge w:val="restart"/>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记录随机抽查的20个药品品名和销售价格，以及省药品招标采购确定的公立医院销售价格。</w:t>
            </w:r>
          </w:p>
        </w:tc>
        <w:tc>
          <w:tcPr>
            <w:tcW w:w="6819" w:type="dxa"/>
            <w:vMerge w:val="restart"/>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1、现场抽查20个医保药品，与省医药采购服务平台确定的公立医院销售价格进行比较，每发现1个超过省药招价格的，在4分的基础上扣0.5分，扣完为止。</w:t>
            </w:r>
          </w:p>
        </w:tc>
      </w:tr>
      <w:tr w:rsidR="00340DEC" w:rsidTr="00C323B1">
        <w:trPr>
          <w:trHeight w:val="438"/>
        </w:trPr>
        <w:tc>
          <w:tcPr>
            <w:tcW w:w="267"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432"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756"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3451"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（2）随机抽查的药品价格超过省医药采购服务平台确定的公立医院销售价格的，1个品种扣0.5分，累计计算，最多可扣4分。</w:t>
            </w:r>
          </w:p>
        </w:tc>
        <w:tc>
          <w:tcPr>
            <w:tcW w:w="418"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1997"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6819"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rPr>
                <w:rFonts w:ascii="宋体" w:hAnsi="宋体" w:cs="宋体"/>
                <w:color w:val="000000"/>
                <w:sz w:val="20"/>
                <w:szCs w:val="20"/>
              </w:rPr>
            </w:pPr>
          </w:p>
        </w:tc>
      </w:tr>
      <w:tr w:rsidR="00340DEC" w:rsidTr="00C323B1">
        <w:trPr>
          <w:trHeight w:val="325"/>
        </w:trPr>
        <w:tc>
          <w:tcPr>
            <w:tcW w:w="267" w:type="dxa"/>
            <w:vMerge w:val="restart"/>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11</w:t>
            </w:r>
          </w:p>
        </w:tc>
        <w:tc>
          <w:tcPr>
            <w:tcW w:w="432"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756" w:type="dxa"/>
            <w:vMerge w:val="restart"/>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检查治疗收费</w:t>
            </w:r>
            <w:r>
              <w:rPr>
                <w:rFonts w:ascii="宋体" w:hAnsi="宋体" w:cs="宋体" w:hint="eastAsia"/>
                <w:color w:val="000000"/>
                <w:kern w:val="0"/>
                <w:sz w:val="20"/>
                <w:szCs w:val="20"/>
                <w:lang w:bidi="ar"/>
              </w:rPr>
              <w:lastRenderedPageBreak/>
              <w:t>（4分）</w:t>
            </w:r>
          </w:p>
        </w:tc>
        <w:tc>
          <w:tcPr>
            <w:tcW w:w="3451"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（1）随机抽查的20个检查治疗收费均未超过物价部门确定的收费价格的，得4分；</w:t>
            </w:r>
          </w:p>
        </w:tc>
        <w:tc>
          <w:tcPr>
            <w:tcW w:w="418" w:type="dxa"/>
            <w:vMerge w:val="restart"/>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1997" w:type="dxa"/>
            <w:vMerge w:val="restart"/>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记录随机抽查的20个诊疗项目名称和服务价格，以及省物价局</w:t>
            </w:r>
            <w:r>
              <w:rPr>
                <w:rFonts w:ascii="宋体" w:hAnsi="宋体" w:cs="宋体" w:hint="eastAsia"/>
                <w:color w:val="000000"/>
                <w:kern w:val="0"/>
                <w:sz w:val="20"/>
                <w:szCs w:val="20"/>
                <w:lang w:bidi="ar"/>
              </w:rPr>
              <w:lastRenderedPageBreak/>
              <w:t>确定的检查治疗收费项目价格。</w:t>
            </w:r>
          </w:p>
        </w:tc>
        <w:tc>
          <w:tcPr>
            <w:tcW w:w="6819" w:type="dxa"/>
            <w:vMerge w:val="restart"/>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 xml:space="preserve">    1、从现场随机抽查20个项目，与省物价局确定的检查治疗收费价格进行比较，每发现1个收费超过省物价局确定的收费价格的，在4分的基础上扣0.5分，扣完为止。以《江西省医疗服务项目价格汇编》上的价格为准。</w:t>
            </w:r>
          </w:p>
        </w:tc>
      </w:tr>
      <w:tr w:rsidR="00340DEC" w:rsidTr="00C323B1">
        <w:trPr>
          <w:trHeight w:val="322"/>
        </w:trPr>
        <w:tc>
          <w:tcPr>
            <w:tcW w:w="267"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432"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756"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3451"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（2）随机抽查的检查治疗收费超过物价部门确定的收费价格的，1个项目扣0.5分，累计计算，最多可扣4分。</w:t>
            </w:r>
          </w:p>
        </w:tc>
        <w:tc>
          <w:tcPr>
            <w:tcW w:w="418"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1997"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6819"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rPr>
                <w:rFonts w:ascii="宋体" w:hAnsi="宋体" w:cs="宋体"/>
                <w:color w:val="000000"/>
                <w:sz w:val="20"/>
                <w:szCs w:val="20"/>
              </w:rPr>
            </w:pPr>
          </w:p>
        </w:tc>
      </w:tr>
      <w:tr w:rsidR="00340DEC" w:rsidTr="00C323B1">
        <w:trPr>
          <w:trHeight w:val="928"/>
        </w:trPr>
        <w:tc>
          <w:tcPr>
            <w:tcW w:w="267"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w:t>
            </w:r>
          </w:p>
        </w:tc>
        <w:tc>
          <w:tcPr>
            <w:tcW w:w="432"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756"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次均住院费用 （4分）</w:t>
            </w:r>
          </w:p>
        </w:tc>
        <w:tc>
          <w:tcPr>
            <w:tcW w:w="3451"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开业1年以上医疗机构，上一年度次均住院费用与统筹地区同级别医疗机构次均住院费用相比，开业满3个月不满1年的医疗机构，自开业起第一个季度次均住院费用与统筹地区同级别医疗机构同季度次均住院费用相比，85%（含85%）以下的得4分；85%-90%（含90%）的得3分；90%-95%（含95%）的得2分；95%-100%（含100%）的得1分。</w:t>
            </w:r>
          </w:p>
        </w:tc>
        <w:tc>
          <w:tcPr>
            <w:tcW w:w="418"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1997"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现场评估时，由医疗机构提供住院人次数的明细清单、收费金额，以及次均费用情况说明。</w:t>
            </w:r>
          </w:p>
        </w:tc>
        <w:tc>
          <w:tcPr>
            <w:tcW w:w="6819"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1、根据申报单位提供的次均住院费用与2020年度同级别医疗机构次均住院费用进行比较评分；2、一级医疗机构的次均住院费用为2000元/人.次；3、超过100%的得0分。</w:t>
            </w:r>
          </w:p>
        </w:tc>
      </w:tr>
      <w:tr w:rsidR="00340DEC" w:rsidTr="00C323B1">
        <w:trPr>
          <w:trHeight w:val="928"/>
        </w:trPr>
        <w:tc>
          <w:tcPr>
            <w:tcW w:w="267"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w:t>
            </w:r>
          </w:p>
        </w:tc>
        <w:tc>
          <w:tcPr>
            <w:tcW w:w="432"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756"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次均门诊费用（4分）</w:t>
            </w:r>
          </w:p>
        </w:tc>
        <w:tc>
          <w:tcPr>
            <w:tcW w:w="3451"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开业1年以上医疗机构，上一年度次均门诊费用与统筹地区同级别医疗机构次均门诊费用相比，开业满3个月不满1年的医疗机构，自开业起第一个季度次均门诊费用与统筹地区同级别医疗机构同季度次均门诊费用相比，85%（含85%）以下的得4分；85%-90%（含90%）的得3分；90%-95%（含95%）的得2分；95%-100%（含100%）的得1分。</w:t>
            </w:r>
          </w:p>
        </w:tc>
        <w:tc>
          <w:tcPr>
            <w:tcW w:w="418"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1997"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现场评估时，由医疗机构提供门诊人次数的明细清单、收费金额，以及次均费用情况说明。</w:t>
            </w:r>
          </w:p>
        </w:tc>
        <w:tc>
          <w:tcPr>
            <w:tcW w:w="6819"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1、根据申报单位提供的次均门诊费用与2020年度同级别医疗机构次均门诊费用进行比较评分；2、一级医疗机构的次均门诊费用为120元/人.次：3、超过100%的得0分。</w:t>
            </w:r>
          </w:p>
        </w:tc>
      </w:tr>
      <w:tr w:rsidR="00340DEC" w:rsidTr="00C323B1">
        <w:trPr>
          <w:trHeight w:val="332"/>
        </w:trPr>
        <w:tc>
          <w:tcPr>
            <w:tcW w:w="267"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14</w:t>
            </w:r>
          </w:p>
        </w:tc>
        <w:tc>
          <w:tcPr>
            <w:tcW w:w="432"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756"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费用清单（2分）</w:t>
            </w:r>
          </w:p>
        </w:tc>
        <w:tc>
          <w:tcPr>
            <w:tcW w:w="3451"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按规定提供药品、检查、治疗、服务收费清单的，得2分；否则不得分。</w:t>
            </w:r>
          </w:p>
        </w:tc>
        <w:tc>
          <w:tcPr>
            <w:tcW w:w="418"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1997"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6819"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现场查看费用清单情况。</w:t>
            </w:r>
          </w:p>
        </w:tc>
      </w:tr>
      <w:tr w:rsidR="00340DEC" w:rsidTr="00C323B1">
        <w:trPr>
          <w:trHeight w:val="322"/>
        </w:trPr>
        <w:tc>
          <w:tcPr>
            <w:tcW w:w="267"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15</w:t>
            </w:r>
          </w:p>
        </w:tc>
        <w:tc>
          <w:tcPr>
            <w:tcW w:w="432"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756"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价格信息公示（2分）</w:t>
            </w:r>
          </w:p>
        </w:tc>
        <w:tc>
          <w:tcPr>
            <w:tcW w:w="3451"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设立公示屏（牌）及时向群众公示药品和医疗服务价格信息及医保支付标准的，得2分；否则不得分。</w:t>
            </w:r>
          </w:p>
        </w:tc>
        <w:tc>
          <w:tcPr>
            <w:tcW w:w="418"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1997"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6819"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是否有药品、医疗服务价格的公示屏（牌）。</w:t>
            </w:r>
          </w:p>
        </w:tc>
      </w:tr>
      <w:tr w:rsidR="00340DEC" w:rsidTr="00C323B1">
        <w:trPr>
          <w:trHeight w:val="474"/>
        </w:trPr>
        <w:tc>
          <w:tcPr>
            <w:tcW w:w="267"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w:t>
            </w:r>
          </w:p>
        </w:tc>
        <w:tc>
          <w:tcPr>
            <w:tcW w:w="432" w:type="dxa"/>
            <w:vMerge w:val="restart"/>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内部管理</w:t>
            </w:r>
            <w:r>
              <w:rPr>
                <w:rFonts w:ascii="宋体" w:hAnsi="宋体" w:cs="宋体" w:hint="eastAsia"/>
                <w:color w:val="000000"/>
                <w:kern w:val="0"/>
                <w:sz w:val="20"/>
                <w:szCs w:val="20"/>
                <w:lang w:bidi="ar"/>
              </w:rPr>
              <w:br/>
              <w:t>（15分）</w:t>
            </w:r>
          </w:p>
        </w:tc>
        <w:tc>
          <w:tcPr>
            <w:tcW w:w="756"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门诊患者抗菌药物使用率（2分）</w:t>
            </w:r>
          </w:p>
        </w:tc>
        <w:tc>
          <w:tcPr>
            <w:tcW w:w="3451"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抽查20份门诊病历，抗菌药物使用率在50%（含50%）以下的得2分；抗菌药物使用率在50%至60%（含60%）以内的得1分，高于60%的不得分。</w:t>
            </w:r>
          </w:p>
        </w:tc>
        <w:tc>
          <w:tcPr>
            <w:tcW w:w="418"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1997"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记录随机抽查的20份门诊病历（处方）的抗菌药物使用。</w:t>
            </w:r>
          </w:p>
        </w:tc>
        <w:tc>
          <w:tcPr>
            <w:tcW w:w="6819"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1、抽查20份门诊病历，根据抽查的病历中抗菌药物使用率评分；2、使用率超过60%的，得0分。</w:t>
            </w:r>
          </w:p>
        </w:tc>
      </w:tr>
      <w:tr w:rsidR="00340DEC" w:rsidTr="00C323B1">
        <w:trPr>
          <w:trHeight w:val="786"/>
        </w:trPr>
        <w:tc>
          <w:tcPr>
            <w:tcW w:w="267"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17</w:t>
            </w:r>
          </w:p>
        </w:tc>
        <w:tc>
          <w:tcPr>
            <w:tcW w:w="432"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756"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住院患者大型检查阳性率(门诊医疗机构不评估)（2分）</w:t>
            </w:r>
          </w:p>
        </w:tc>
        <w:tc>
          <w:tcPr>
            <w:tcW w:w="3451"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抽查20份住院病历，大型检查阳性率（CT、核磁共振、彩超）在80%（含80%）以上的得2分；大型检查阳性率在70%（含70%）至80%以内的得1分，低于70%的不得分。</w:t>
            </w:r>
          </w:p>
        </w:tc>
        <w:tc>
          <w:tcPr>
            <w:tcW w:w="418"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1997"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记录随机抽查的20份住院病历中的大型检查阳性率。</w:t>
            </w:r>
          </w:p>
        </w:tc>
        <w:tc>
          <w:tcPr>
            <w:tcW w:w="6819"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抽查20份住院病历，根据抽查的病历中大型检查阳性率评分。</w:t>
            </w:r>
          </w:p>
        </w:tc>
      </w:tr>
      <w:tr w:rsidR="00340DEC" w:rsidTr="00C323B1">
        <w:trPr>
          <w:trHeight w:val="687"/>
        </w:trPr>
        <w:tc>
          <w:tcPr>
            <w:tcW w:w="267"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18</w:t>
            </w:r>
          </w:p>
        </w:tc>
        <w:tc>
          <w:tcPr>
            <w:tcW w:w="432"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756"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医疗保险管理（4分）</w:t>
            </w:r>
          </w:p>
        </w:tc>
        <w:tc>
          <w:tcPr>
            <w:tcW w:w="3451"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建立了与基本医疗保险管理相适应的内部组织管理制度，配备了专（兼）职医保管理人员、设备和办公场所，同时医保工作由医疗机构主要负责同志分管的，得4分。其中，100张床位及以上的医疗机构应设医疗保障办公室，有专职工作人员，否则扣2分。</w:t>
            </w:r>
          </w:p>
        </w:tc>
        <w:tc>
          <w:tcPr>
            <w:tcW w:w="418"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1997"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6819"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1、书面评估根据申报单位提供的医疗保险管理方面的佐证材料评分。现场评估根据申报单位店内的制度原件和劳动合同原件评分；2、没有明确配备专（兼）职医保管理人员、设备和办公场所，同时医保工作由医疗机构主要负责同志分管的，以及未建立医保药品管理制度、财务管理制度、医保人员管理制度、统计信息管理制度和医保费用结算制度的，直接不予准入。</w:t>
            </w:r>
          </w:p>
        </w:tc>
      </w:tr>
      <w:tr w:rsidR="00340DEC" w:rsidTr="00C323B1">
        <w:trPr>
          <w:trHeight w:val="332"/>
        </w:trPr>
        <w:tc>
          <w:tcPr>
            <w:tcW w:w="267"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19</w:t>
            </w:r>
          </w:p>
        </w:tc>
        <w:tc>
          <w:tcPr>
            <w:tcW w:w="432"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756"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环境卫生管理（3分）</w:t>
            </w:r>
          </w:p>
        </w:tc>
        <w:tc>
          <w:tcPr>
            <w:tcW w:w="3451"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医疗机构干净整洁，无乱贴乱挂，功能分区合理，得3分；否则不得分。</w:t>
            </w:r>
          </w:p>
        </w:tc>
        <w:tc>
          <w:tcPr>
            <w:tcW w:w="418"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1997"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6819"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未建立合理功能分区，功能分区不合理，卫生环境差的不得分。</w:t>
            </w:r>
          </w:p>
        </w:tc>
      </w:tr>
      <w:tr w:rsidR="00340DEC" w:rsidTr="00C323B1">
        <w:trPr>
          <w:trHeight w:val="474"/>
        </w:trPr>
        <w:tc>
          <w:tcPr>
            <w:tcW w:w="267"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432"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756"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医患纠纷调解（2分）</w:t>
            </w:r>
          </w:p>
        </w:tc>
        <w:tc>
          <w:tcPr>
            <w:tcW w:w="3451"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建立健全医疗纠纷投诉和处理机构，并有专人负责，公布投诉电话、信箱，畅通投诉渠道，及时受理、处置患方投诉的，得2分；否则不得分。</w:t>
            </w:r>
          </w:p>
        </w:tc>
        <w:tc>
          <w:tcPr>
            <w:tcW w:w="418"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1997"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6819"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查看有关制度和公示。</w:t>
            </w:r>
          </w:p>
        </w:tc>
      </w:tr>
      <w:tr w:rsidR="00340DEC" w:rsidTr="00C323B1">
        <w:trPr>
          <w:trHeight w:val="322"/>
        </w:trPr>
        <w:tc>
          <w:tcPr>
            <w:tcW w:w="267"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21</w:t>
            </w:r>
          </w:p>
        </w:tc>
        <w:tc>
          <w:tcPr>
            <w:tcW w:w="432"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756"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便民导诊服务（2分）</w:t>
            </w:r>
          </w:p>
        </w:tc>
        <w:tc>
          <w:tcPr>
            <w:tcW w:w="3451"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设立导诊台、指示牌、就医流程、专家姓名，方便群众看病就医的，得2分；否则不得分。</w:t>
            </w:r>
          </w:p>
        </w:tc>
        <w:tc>
          <w:tcPr>
            <w:tcW w:w="418"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1997"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6819"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查看有关制度、流程和指示牌。</w:t>
            </w:r>
          </w:p>
        </w:tc>
      </w:tr>
      <w:tr w:rsidR="00340DEC" w:rsidTr="00C323B1">
        <w:trPr>
          <w:trHeight w:val="594"/>
        </w:trPr>
        <w:tc>
          <w:tcPr>
            <w:tcW w:w="267"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22</w:t>
            </w:r>
          </w:p>
        </w:tc>
        <w:tc>
          <w:tcPr>
            <w:tcW w:w="432" w:type="dxa"/>
            <w:vMerge w:val="restart"/>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财务管理</w:t>
            </w:r>
            <w:r>
              <w:rPr>
                <w:rFonts w:ascii="宋体" w:hAnsi="宋体" w:cs="宋体" w:hint="eastAsia"/>
                <w:color w:val="000000"/>
                <w:kern w:val="0"/>
                <w:sz w:val="20"/>
                <w:szCs w:val="20"/>
                <w:lang w:bidi="ar"/>
              </w:rPr>
              <w:br/>
              <w:t>（14分）</w:t>
            </w:r>
          </w:p>
        </w:tc>
        <w:tc>
          <w:tcPr>
            <w:tcW w:w="756"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参加医疗保险情况  （5分）</w:t>
            </w:r>
          </w:p>
        </w:tc>
        <w:tc>
          <w:tcPr>
            <w:tcW w:w="3451"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从签订劳动合同开始截止到现场评估时，全部在职员工均参加了基本医疗保险，并及时缴费，得5分；否则不得纳入医保定点。</w:t>
            </w:r>
          </w:p>
        </w:tc>
        <w:tc>
          <w:tcPr>
            <w:tcW w:w="418"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1997"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现场评估时，记录员工详细信息（姓名、性别、身份证号，参加险种，缴费年度）</w:t>
            </w:r>
          </w:p>
        </w:tc>
        <w:tc>
          <w:tcPr>
            <w:tcW w:w="6819"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1、必须所有员工都参加了基本医疗保险，包括职工医保和城乡居民医保（个体工商户的用工可参加城乡居民医保，法人企业聘用的农村户籍人员可参加城乡居民医保）；2、已参加职工医保的退休返聘视同参保；3、如有员工未依法参保，则不得纳入医保定点。</w:t>
            </w:r>
          </w:p>
        </w:tc>
      </w:tr>
      <w:tr w:rsidR="00340DEC" w:rsidTr="00C323B1">
        <w:trPr>
          <w:trHeight w:val="325"/>
        </w:trPr>
        <w:tc>
          <w:tcPr>
            <w:tcW w:w="267" w:type="dxa"/>
            <w:vMerge w:val="restart"/>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23</w:t>
            </w:r>
          </w:p>
        </w:tc>
        <w:tc>
          <w:tcPr>
            <w:tcW w:w="432"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756" w:type="dxa"/>
            <w:vMerge w:val="restart"/>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对药品、医用材料的采购、验收、销售等环节实行</w:t>
            </w:r>
            <w:r>
              <w:rPr>
                <w:rFonts w:ascii="宋体" w:hAnsi="宋体" w:cs="宋体" w:hint="eastAsia"/>
                <w:color w:val="000000"/>
                <w:kern w:val="0"/>
                <w:sz w:val="20"/>
                <w:szCs w:val="20"/>
                <w:lang w:bidi="ar"/>
              </w:rPr>
              <w:lastRenderedPageBreak/>
              <w:t>计算机实时管理情况（3分）</w:t>
            </w:r>
          </w:p>
        </w:tc>
        <w:tc>
          <w:tcPr>
            <w:tcW w:w="3451"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（1）已实时录入全部环节数据并可查询3个月及以上时间的真实数据，得3分；</w:t>
            </w:r>
          </w:p>
        </w:tc>
        <w:tc>
          <w:tcPr>
            <w:tcW w:w="418" w:type="dxa"/>
            <w:vMerge w:val="restart"/>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1997" w:type="dxa"/>
            <w:vMerge w:val="restart"/>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6819" w:type="dxa"/>
            <w:vMerge w:val="restart"/>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分别抽查20个药品和医用材料，进、销、存账物不符的，每发现一个品种扣0.5分，扣完为止，如抽查发现6个品种及以上不符的，则不得纳入医保定点。</w:t>
            </w:r>
          </w:p>
        </w:tc>
      </w:tr>
      <w:tr w:rsidR="00340DEC" w:rsidTr="00C323B1">
        <w:trPr>
          <w:trHeight w:val="346"/>
        </w:trPr>
        <w:tc>
          <w:tcPr>
            <w:tcW w:w="267"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432"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756"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3451"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（2）已实时录入全部环节数据并可查询1个月以上至3个月以内的真实数据，得2分；</w:t>
            </w:r>
          </w:p>
        </w:tc>
        <w:tc>
          <w:tcPr>
            <w:tcW w:w="418"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1997"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6819"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rPr>
                <w:rFonts w:ascii="宋体" w:hAnsi="宋体" w:cs="宋体"/>
                <w:color w:val="000000"/>
                <w:sz w:val="20"/>
                <w:szCs w:val="20"/>
              </w:rPr>
            </w:pPr>
          </w:p>
        </w:tc>
      </w:tr>
      <w:tr w:rsidR="00340DEC" w:rsidTr="00C323B1">
        <w:trPr>
          <w:trHeight w:val="322"/>
        </w:trPr>
        <w:tc>
          <w:tcPr>
            <w:tcW w:w="267"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432"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756"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3451"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（3）已实时录入全部环节数据并可查询1个月以内的真实数据，得1分；</w:t>
            </w:r>
          </w:p>
        </w:tc>
        <w:tc>
          <w:tcPr>
            <w:tcW w:w="418"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1997"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6819"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rPr>
                <w:rFonts w:ascii="宋体" w:hAnsi="宋体" w:cs="宋体"/>
                <w:color w:val="000000"/>
                <w:sz w:val="20"/>
                <w:szCs w:val="20"/>
              </w:rPr>
            </w:pPr>
          </w:p>
        </w:tc>
      </w:tr>
      <w:tr w:rsidR="00340DEC" w:rsidTr="00C323B1">
        <w:trPr>
          <w:trHeight w:val="474"/>
        </w:trPr>
        <w:tc>
          <w:tcPr>
            <w:tcW w:w="267"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24</w:t>
            </w:r>
          </w:p>
        </w:tc>
        <w:tc>
          <w:tcPr>
            <w:tcW w:w="432"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756"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财务管理制度（2分）</w:t>
            </w:r>
          </w:p>
        </w:tc>
        <w:tc>
          <w:tcPr>
            <w:tcW w:w="3451"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有健全和完善的财务管理制度，有效的内部监控机制，对医疗机构财务活动进行全面管理，建立监督内控机制的，得2分；否则不得分。</w:t>
            </w:r>
          </w:p>
        </w:tc>
        <w:tc>
          <w:tcPr>
            <w:tcW w:w="418"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1997"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rPr>
                <w:rFonts w:ascii="宋体" w:hAnsi="宋体" w:cs="宋体"/>
                <w:color w:val="000000"/>
                <w:sz w:val="20"/>
                <w:szCs w:val="20"/>
              </w:rPr>
            </w:pPr>
          </w:p>
        </w:tc>
        <w:tc>
          <w:tcPr>
            <w:tcW w:w="6819"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根据申报单位提供的管理制度方面的佐证材料评分。现场查看有关制度原件和财务票</w:t>
            </w:r>
            <w:r w:rsidR="00375073">
              <w:rPr>
                <w:rFonts w:ascii="宋体" w:hAnsi="宋体" w:cs="宋体" w:hint="eastAsia"/>
                <w:color w:val="000000"/>
                <w:kern w:val="0"/>
                <w:sz w:val="20"/>
                <w:szCs w:val="20"/>
                <w:lang w:bidi="ar"/>
              </w:rPr>
              <w:t>账</w:t>
            </w:r>
            <w:r>
              <w:rPr>
                <w:rFonts w:ascii="宋体" w:hAnsi="宋体" w:cs="宋体" w:hint="eastAsia"/>
                <w:color w:val="000000"/>
                <w:kern w:val="0"/>
                <w:sz w:val="20"/>
                <w:szCs w:val="20"/>
                <w:lang w:bidi="ar"/>
              </w:rPr>
              <w:t>。扣2分则不得纳入医保定点。</w:t>
            </w:r>
          </w:p>
        </w:tc>
      </w:tr>
      <w:tr w:rsidR="00340DEC" w:rsidTr="00C323B1">
        <w:trPr>
          <w:trHeight w:val="552"/>
        </w:trPr>
        <w:tc>
          <w:tcPr>
            <w:tcW w:w="267"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25</w:t>
            </w:r>
          </w:p>
        </w:tc>
        <w:tc>
          <w:tcPr>
            <w:tcW w:w="432"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756"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财务人员（2分）</w:t>
            </w:r>
          </w:p>
        </w:tc>
        <w:tc>
          <w:tcPr>
            <w:tcW w:w="3451"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根据医疗机构规模，设置相应独立的财会机构，配备相应的会计、出纳人员，得2分；只有会计人员或出纳人员，得1分，其余情况不得分。</w:t>
            </w:r>
          </w:p>
        </w:tc>
        <w:tc>
          <w:tcPr>
            <w:tcW w:w="418"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1997"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rPr>
                <w:rFonts w:ascii="宋体" w:hAnsi="宋体" w:cs="宋体"/>
                <w:color w:val="000000"/>
                <w:sz w:val="20"/>
                <w:szCs w:val="20"/>
              </w:rPr>
            </w:pPr>
          </w:p>
        </w:tc>
        <w:tc>
          <w:tcPr>
            <w:tcW w:w="6819"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1、根据申报单位提供的财务人员相关的佐证材料书面评估；2、现场查看企业（公司）任命文件、财务（会计）从业资格证、与财务人员签订的劳动用工合同，如是聘请会计事务所等财务公司代为记</w:t>
            </w:r>
            <w:r w:rsidR="00375073">
              <w:rPr>
                <w:rFonts w:ascii="宋体" w:hAnsi="宋体" w:cs="宋体" w:hint="eastAsia"/>
                <w:color w:val="000000"/>
                <w:kern w:val="0"/>
                <w:sz w:val="20"/>
                <w:szCs w:val="20"/>
                <w:lang w:bidi="ar"/>
              </w:rPr>
              <w:t>账</w:t>
            </w:r>
            <w:r>
              <w:rPr>
                <w:rFonts w:ascii="宋体" w:hAnsi="宋体" w:cs="宋体" w:hint="eastAsia"/>
                <w:color w:val="000000"/>
                <w:kern w:val="0"/>
                <w:sz w:val="20"/>
                <w:szCs w:val="20"/>
                <w:lang w:bidi="ar"/>
              </w:rPr>
              <w:t>的，需提供与财务代</w:t>
            </w:r>
            <w:r w:rsidR="00375073">
              <w:rPr>
                <w:rFonts w:ascii="宋体" w:hAnsi="宋体" w:cs="宋体" w:hint="eastAsia"/>
                <w:color w:val="000000"/>
                <w:kern w:val="0"/>
                <w:sz w:val="20"/>
                <w:szCs w:val="20"/>
                <w:lang w:bidi="ar"/>
              </w:rPr>
              <w:t>账</w:t>
            </w:r>
            <w:r>
              <w:rPr>
                <w:rFonts w:ascii="宋体" w:hAnsi="宋体" w:cs="宋体" w:hint="eastAsia"/>
                <w:color w:val="000000"/>
                <w:kern w:val="0"/>
                <w:sz w:val="20"/>
                <w:szCs w:val="20"/>
                <w:lang w:bidi="ar"/>
              </w:rPr>
              <w:t>公司签定的委托合同。3、如无会计岗位从业人员，扣1分。4、如无出纳岗位从业人员，扣1分。</w:t>
            </w:r>
          </w:p>
        </w:tc>
      </w:tr>
      <w:tr w:rsidR="00340DEC" w:rsidTr="00C323B1">
        <w:trPr>
          <w:trHeight w:val="625"/>
        </w:trPr>
        <w:tc>
          <w:tcPr>
            <w:tcW w:w="267"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26</w:t>
            </w:r>
          </w:p>
        </w:tc>
        <w:tc>
          <w:tcPr>
            <w:tcW w:w="432"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756"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财务结算（2分）</w:t>
            </w:r>
          </w:p>
        </w:tc>
        <w:tc>
          <w:tcPr>
            <w:tcW w:w="3451"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财务票据齐全、合法，且安装使用电子收费系统的，得2分；财务票据不齐全或不合法的扣1分，未安装使用电子收费系统的扣1分。</w:t>
            </w:r>
          </w:p>
        </w:tc>
        <w:tc>
          <w:tcPr>
            <w:tcW w:w="418"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1997"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申报单位需提供开业以来的财务</w:t>
            </w:r>
            <w:r w:rsidR="00375073">
              <w:rPr>
                <w:rFonts w:ascii="宋体" w:hAnsi="宋体" w:cs="宋体" w:hint="eastAsia"/>
                <w:color w:val="000000"/>
                <w:kern w:val="0"/>
                <w:sz w:val="20"/>
                <w:szCs w:val="20"/>
                <w:lang w:bidi="ar"/>
              </w:rPr>
              <w:t>账</w:t>
            </w:r>
            <w:r>
              <w:rPr>
                <w:rFonts w:ascii="宋体" w:hAnsi="宋体" w:cs="宋体" w:hint="eastAsia"/>
                <w:color w:val="000000"/>
                <w:kern w:val="0"/>
                <w:sz w:val="20"/>
                <w:szCs w:val="20"/>
                <w:lang w:bidi="ar"/>
              </w:rPr>
              <w:t>簿、凭证、报表等（至少开业以来三个月的财务资料），无法提供财务资料的一票否决。</w:t>
            </w:r>
          </w:p>
        </w:tc>
        <w:tc>
          <w:tcPr>
            <w:tcW w:w="6819"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rPr>
                <w:rFonts w:ascii="宋体" w:hAnsi="宋体" w:cs="宋体"/>
                <w:color w:val="000000"/>
                <w:sz w:val="20"/>
                <w:szCs w:val="20"/>
              </w:rPr>
            </w:pPr>
          </w:p>
        </w:tc>
      </w:tr>
      <w:tr w:rsidR="00340DEC" w:rsidTr="00C323B1">
        <w:trPr>
          <w:trHeight w:val="431"/>
        </w:trPr>
        <w:tc>
          <w:tcPr>
            <w:tcW w:w="267"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27</w:t>
            </w:r>
          </w:p>
        </w:tc>
        <w:tc>
          <w:tcPr>
            <w:tcW w:w="432" w:type="dxa"/>
            <w:vMerge w:val="restart"/>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信息系统</w:t>
            </w:r>
            <w:r>
              <w:rPr>
                <w:rFonts w:ascii="宋体" w:hAnsi="宋体" w:cs="宋体" w:hint="eastAsia"/>
                <w:color w:val="000000"/>
                <w:kern w:val="0"/>
                <w:sz w:val="20"/>
                <w:szCs w:val="20"/>
                <w:lang w:bidi="ar"/>
              </w:rPr>
              <w:br/>
              <w:t>（6分）</w:t>
            </w:r>
          </w:p>
        </w:tc>
        <w:tc>
          <w:tcPr>
            <w:tcW w:w="756"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计算机配备使用    （2分）</w:t>
            </w:r>
          </w:p>
        </w:tc>
        <w:tc>
          <w:tcPr>
            <w:tcW w:w="3451"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按照医疗保险业务要求配置必要的电脑设备（包括POS机）和熟练的操作人员的，得2分；否则不得分。</w:t>
            </w:r>
          </w:p>
        </w:tc>
        <w:tc>
          <w:tcPr>
            <w:tcW w:w="418"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1997"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6819"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未按要求配备必要的电脑设备（包括POS机），扣2分。扣2分则不得纳入医保定点。</w:t>
            </w:r>
          </w:p>
        </w:tc>
      </w:tr>
      <w:tr w:rsidR="00340DEC" w:rsidTr="00C323B1">
        <w:trPr>
          <w:trHeight w:val="332"/>
        </w:trPr>
        <w:tc>
          <w:tcPr>
            <w:tcW w:w="267"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28</w:t>
            </w:r>
          </w:p>
        </w:tc>
        <w:tc>
          <w:tcPr>
            <w:tcW w:w="432"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756"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医疗信息化（2分）</w:t>
            </w:r>
          </w:p>
        </w:tc>
        <w:tc>
          <w:tcPr>
            <w:tcW w:w="3451"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对医疗服务过程实行全流程信息化管理的，得2分；否则不得分。</w:t>
            </w:r>
          </w:p>
        </w:tc>
        <w:tc>
          <w:tcPr>
            <w:tcW w:w="418"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1997"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无信息化管理一票否决。</w:t>
            </w:r>
          </w:p>
        </w:tc>
        <w:tc>
          <w:tcPr>
            <w:tcW w:w="6819"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rPr>
                <w:rFonts w:ascii="宋体" w:hAnsi="宋体" w:cs="宋体"/>
                <w:color w:val="000000"/>
                <w:sz w:val="20"/>
                <w:szCs w:val="20"/>
              </w:rPr>
            </w:pPr>
          </w:p>
        </w:tc>
      </w:tr>
      <w:tr w:rsidR="00340DEC" w:rsidTr="00C323B1">
        <w:trPr>
          <w:trHeight w:val="566"/>
        </w:trPr>
        <w:tc>
          <w:tcPr>
            <w:tcW w:w="267"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29</w:t>
            </w:r>
          </w:p>
        </w:tc>
        <w:tc>
          <w:tcPr>
            <w:tcW w:w="432"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756"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联网结算能力（2分）</w:t>
            </w:r>
          </w:p>
        </w:tc>
        <w:tc>
          <w:tcPr>
            <w:tcW w:w="3451"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能够适应医保信息化建设要求，具有医保联网结算能力，得2分；否则不得分。</w:t>
            </w:r>
          </w:p>
        </w:tc>
        <w:tc>
          <w:tcPr>
            <w:tcW w:w="418"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1997"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现场检验工作人员计算机操作。无联网结算一票否决。</w:t>
            </w:r>
          </w:p>
        </w:tc>
        <w:tc>
          <w:tcPr>
            <w:tcW w:w="6819"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书面评估根据单位提交的具备联网结算能力承诺书进行评分。现场查看：有2名及以上熟练的计算机操作人员的得2分，每缺少1名扣1分。扣2分则不得纳入医保定点。</w:t>
            </w:r>
          </w:p>
        </w:tc>
      </w:tr>
      <w:tr w:rsidR="00340DEC" w:rsidTr="00C323B1">
        <w:trPr>
          <w:trHeight w:val="474"/>
        </w:trPr>
        <w:tc>
          <w:tcPr>
            <w:tcW w:w="267"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30</w:t>
            </w:r>
          </w:p>
        </w:tc>
        <w:tc>
          <w:tcPr>
            <w:tcW w:w="432" w:type="dxa"/>
            <w:vMerge w:val="restart"/>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社会评价</w:t>
            </w:r>
            <w:r>
              <w:rPr>
                <w:rFonts w:ascii="宋体" w:hAnsi="宋体" w:cs="宋体" w:hint="eastAsia"/>
                <w:color w:val="000000"/>
                <w:kern w:val="0"/>
                <w:sz w:val="20"/>
                <w:szCs w:val="20"/>
                <w:lang w:bidi="ar"/>
              </w:rPr>
              <w:br/>
              <w:t>（12分）</w:t>
            </w:r>
          </w:p>
        </w:tc>
        <w:tc>
          <w:tcPr>
            <w:tcW w:w="756"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群众满意度（8分）</w:t>
            </w:r>
          </w:p>
        </w:tc>
        <w:tc>
          <w:tcPr>
            <w:tcW w:w="3451"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医疗机构在评估期间自觉接受监督，在显著位置张贴承诺公告的，得8分；评估期间如有不符合准入条件的投诉反映，一经查实，取消申报资格。</w:t>
            </w:r>
          </w:p>
        </w:tc>
        <w:tc>
          <w:tcPr>
            <w:tcW w:w="418"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1997"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6819"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是否在显著位置张贴公告。</w:t>
            </w:r>
          </w:p>
        </w:tc>
      </w:tr>
      <w:tr w:rsidR="00340DEC" w:rsidTr="00C323B1">
        <w:trPr>
          <w:trHeight w:val="594"/>
        </w:trPr>
        <w:tc>
          <w:tcPr>
            <w:tcW w:w="267"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31</w:t>
            </w:r>
          </w:p>
        </w:tc>
        <w:tc>
          <w:tcPr>
            <w:tcW w:w="432"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756"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主流媒体负面报导及医疗服务不良记录    （3分）</w:t>
            </w:r>
          </w:p>
        </w:tc>
        <w:tc>
          <w:tcPr>
            <w:tcW w:w="3451"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申请准入医疗机构书面承诺近二年内本医疗机构、主要负责人（或实际控制人）均无医疗服务不良记录、无媒体负面报导及其他产生社会影响的负面事件，得3分；如私自悬挂医保定点标识、提供虚假信息或尚在处罚期的，取消申报资格。</w:t>
            </w:r>
          </w:p>
        </w:tc>
        <w:tc>
          <w:tcPr>
            <w:tcW w:w="418"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1997"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6819"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1、书面评估根据单位提交的承诺书和网上查询结果进行评分；2、现场查看直接得分；3、经核实，存在提供虚假申报材料的，按照在评估阶段直接取消评估资格；对取得评估的，按照定点医药机构退出机制的规定予以退出。</w:t>
            </w:r>
          </w:p>
        </w:tc>
      </w:tr>
      <w:tr w:rsidR="00340DEC" w:rsidTr="00C323B1">
        <w:trPr>
          <w:trHeight w:val="1134"/>
        </w:trPr>
        <w:tc>
          <w:tcPr>
            <w:tcW w:w="267"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32</w:t>
            </w:r>
          </w:p>
        </w:tc>
        <w:tc>
          <w:tcPr>
            <w:tcW w:w="432" w:type="dxa"/>
            <w:vMerge/>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756"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获得荣誉表彰情况   （1分）</w:t>
            </w:r>
          </w:p>
        </w:tc>
        <w:tc>
          <w:tcPr>
            <w:tcW w:w="3451"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申请评估前二年内被医疗保障、卫健、市场监督管理等部门表彰的得1分。</w:t>
            </w:r>
          </w:p>
        </w:tc>
        <w:tc>
          <w:tcPr>
            <w:tcW w:w="418"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1997"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jc w:val="center"/>
              <w:rPr>
                <w:rFonts w:ascii="宋体" w:hAnsi="宋体" w:cs="宋体"/>
                <w:color w:val="000000"/>
                <w:sz w:val="20"/>
                <w:szCs w:val="20"/>
              </w:rPr>
            </w:pPr>
          </w:p>
        </w:tc>
        <w:tc>
          <w:tcPr>
            <w:tcW w:w="6819" w:type="dxa"/>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1、书面评估根据申报单位提供的佐证材料进行评分；2、现场查看相关资料原件；3、政府组成部门，团委、残联、工会等参照公务员法管理的人民团体和社会团体的部门，其表彰均认可。协会类的表彰不予认可；4、一般以行政部门红头文件为准。不以奖牌为准。如果奖牌上明确了单位名字，则认可。</w:t>
            </w:r>
          </w:p>
        </w:tc>
      </w:tr>
      <w:tr w:rsidR="00340DEC" w:rsidTr="00C323B1">
        <w:trPr>
          <w:trHeight w:val="807"/>
        </w:trPr>
        <w:tc>
          <w:tcPr>
            <w:tcW w:w="14140" w:type="dxa"/>
            <w:gridSpan w:val="7"/>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 xml:space="preserve">    1、评估发现申报单位有下列情形的，直接不予准入：(一)以健康体检、医疗美容、辅助生殖、生活照护、种植牙等非基本医疗服务为主要执业范围的;(二)基本医疗服务未执行医疗保障行政部门制定的医药价格政策的;(三)未依法履行行政处罚责任的（含集团内的其他医疗机构）;(四)以弄虚作假等不正当手段申请定点，自发现之日起未满3年的;(五)因违法违规被解除医保协议未满3年或已满3年但未完全履行行政处罚法律责任的;(六)因严重违反医保协议约定而被解除协议未满1年或已满1年但未完全履行违约责任的;(七)法定代表人、主要负责人或实际控制人曾因严重违法违规导致原定点医疗机构被解除医保协议，未满5年的;(八)法定代表人、主要负责人或实际控制人被列入失信人名单的。</w:t>
            </w:r>
          </w:p>
        </w:tc>
      </w:tr>
      <w:tr w:rsidR="00340DEC" w:rsidTr="00C323B1">
        <w:trPr>
          <w:trHeight w:val="464"/>
        </w:trPr>
        <w:tc>
          <w:tcPr>
            <w:tcW w:w="14140" w:type="dxa"/>
            <w:gridSpan w:val="7"/>
            <w:tcBorders>
              <w:top w:val="single" w:sz="4" w:space="0" w:color="000000"/>
              <w:left w:val="single" w:sz="4" w:space="0" w:color="000000"/>
              <w:bottom w:val="single" w:sz="4" w:space="0" w:color="000000"/>
              <w:right w:val="single" w:sz="4" w:space="0" w:color="000000"/>
            </w:tcBorders>
            <w:vAlign w:val="center"/>
          </w:tcPr>
          <w:p w:rsidR="00340DEC" w:rsidRDefault="00340DEC"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2、上述32个评估项目，在现场评估时要一店一册评估打分，打分后装订存档备查，对每一项的得分（或扣分）均需在《评分细则表》后加附现场评估逐项检查时的原始证据。总分100分，评估得分85分及以上为合格。</w:t>
            </w:r>
          </w:p>
        </w:tc>
      </w:tr>
    </w:tbl>
    <w:p w:rsidR="00340DEC" w:rsidRDefault="00340DEC" w:rsidP="00340DEC"/>
    <w:p w:rsidR="00340DEC" w:rsidRDefault="00340DEC" w:rsidP="00340DEC"/>
    <w:p w:rsidR="001B2A3A" w:rsidRDefault="001B2A3A" w:rsidP="00340DEC"/>
    <w:sectPr w:rsidR="001B2A3A" w:rsidSect="00340DEC">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36F" w:rsidRDefault="00DB636F" w:rsidP="00500C7A">
      <w:r>
        <w:separator/>
      </w:r>
    </w:p>
  </w:endnote>
  <w:endnote w:type="continuationSeparator" w:id="0">
    <w:p w:rsidR="00DB636F" w:rsidRDefault="00DB636F" w:rsidP="00500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黑体简体">
    <w:panose1 w:val="02000000000000000000"/>
    <w:charset w:val="86"/>
    <w:family w:val="auto"/>
    <w:pitch w:val="variable"/>
    <w:sig w:usb0="A00002BF" w:usb1="184F6CFA" w:usb2="00000012" w:usb3="00000000" w:csb0="00040001" w:csb1="00000000"/>
  </w:font>
  <w:font w:name="方正小标宋简体">
    <w:panose1 w:val="03000509000000000000"/>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36F" w:rsidRDefault="00DB636F" w:rsidP="00500C7A">
      <w:r>
        <w:separator/>
      </w:r>
    </w:p>
  </w:footnote>
  <w:footnote w:type="continuationSeparator" w:id="0">
    <w:p w:rsidR="00DB636F" w:rsidRDefault="00DB636F" w:rsidP="00500C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DEC"/>
    <w:rsid w:val="001B2A3A"/>
    <w:rsid w:val="00340DEC"/>
    <w:rsid w:val="00375073"/>
    <w:rsid w:val="0044021B"/>
    <w:rsid w:val="00500C7A"/>
    <w:rsid w:val="006D1141"/>
    <w:rsid w:val="007544D0"/>
    <w:rsid w:val="00DB63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B3425"/>
  <w15:chartTrackingRefBased/>
  <w15:docId w15:val="{E7060A4C-1064-4361-96FF-A7C854461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DEC"/>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C7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00C7A"/>
    <w:rPr>
      <w:rFonts w:ascii="Calibri" w:eastAsia="宋体" w:hAnsi="Calibri" w:cs="Times New Roman"/>
      <w:sz w:val="18"/>
      <w:szCs w:val="18"/>
    </w:rPr>
  </w:style>
  <w:style w:type="paragraph" w:styleId="a5">
    <w:name w:val="footer"/>
    <w:basedOn w:val="a"/>
    <w:link w:val="a6"/>
    <w:uiPriority w:val="99"/>
    <w:unhideWhenUsed/>
    <w:rsid w:val="00500C7A"/>
    <w:pPr>
      <w:tabs>
        <w:tab w:val="center" w:pos="4153"/>
        <w:tab w:val="right" w:pos="8306"/>
      </w:tabs>
      <w:snapToGrid w:val="0"/>
      <w:jc w:val="left"/>
    </w:pPr>
    <w:rPr>
      <w:sz w:val="18"/>
      <w:szCs w:val="18"/>
    </w:rPr>
  </w:style>
  <w:style w:type="character" w:customStyle="1" w:styleId="a6">
    <w:name w:val="页脚 字符"/>
    <w:basedOn w:val="a0"/>
    <w:link w:val="a5"/>
    <w:uiPriority w:val="99"/>
    <w:rsid w:val="00500C7A"/>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981</Words>
  <Characters>5593</Characters>
  <Application>Microsoft Office Word</Application>
  <DocSecurity>0</DocSecurity>
  <Lines>46</Lines>
  <Paragraphs>13</Paragraphs>
  <ScaleCrop>false</ScaleCrop>
  <Company>Microsoft</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上饶市医疗保障局收发员</dc:creator>
  <cp:keywords/>
  <dc:description/>
  <cp:lastModifiedBy>上饶市医疗保障局收发员</cp:lastModifiedBy>
  <cp:revision>2</cp:revision>
  <dcterms:created xsi:type="dcterms:W3CDTF">2023-02-09T02:29:00Z</dcterms:created>
  <dcterms:modified xsi:type="dcterms:W3CDTF">2023-02-09T02:29:00Z</dcterms:modified>
</cp:coreProperties>
</file>