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bCs w:val="0"/>
          <w:i w:val="0"/>
          <w:caps w:val="0"/>
          <w:color w:val="333333"/>
          <w:spacing w:val="0"/>
          <w:sz w:val="44"/>
          <w:szCs w:val="44"/>
          <w:shd w:val="clear" w:color="auto" w:fill="FFFFFF"/>
          <w:lang w:val="en-US" w:eastAsia="zh-CN"/>
        </w:rPr>
      </w:pPr>
      <w:r>
        <w:rPr>
          <w:rFonts w:hint="eastAsia" w:ascii="宋体" w:hAnsi="宋体" w:eastAsia="宋体" w:cs="宋体"/>
          <w:b/>
          <w:bCs w:val="0"/>
          <w:i w:val="0"/>
          <w:caps w:val="0"/>
          <w:color w:val="333333"/>
          <w:spacing w:val="-6"/>
          <w:kern w:val="0"/>
          <w:sz w:val="44"/>
          <w:szCs w:val="44"/>
          <w:shd w:val="clear" w:color="auto" w:fill="FFFFFF"/>
          <w:lang w:val="en-US" w:eastAsia="zh-CN" w:bidi="ar-SA"/>
        </w:rPr>
        <w:t>铅山县湖坊镇中心卫生院医疗设备采购征询会公告</w:t>
      </w:r>
      <w:r>
        <w:rPr>
          <w:rFonts w:hint="eastAsia" w:ascii="宋体" w:hAnsi="宋体" w:eastAsia="宋体" w:cs="宋体"/>
          <w:b/>
          <w:bCs w:val="0"/>
          <w:i w:val="0"/>
          <w:caps w:val="0"/>
          <w:color w:val="333333"/>
          <w:spacing w:val="0"/>
          <w:sz w:val="44"/>
          <w:szCs w:val="44"/>
          <w:shd w:val="clear" w:color="auto" w:fill="FFFFFF"/>
          <w:lang w:val="en-US" w:eastAsia="zh-CN"/>
        </w:rPr>
        <w:t>（高端彩色多普勒超声诊断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宋体" w:cs="宋体"/>
          <w:b/>
          <w:bCs w:val="0"/>
          <w:i w:val="0"/>
          <w:caps w:val="0"/>
          <w:color w:val="333333"/>
          <w:spacing w:val="0"/>
          <w:sz w:val="44"/>
          <w:szCs w:val="44"/>
          <w:shd w:val="clear" w:color="auto" w:fill="FFFFFF"/>
          <w:lang w:val="en-US" w:eastAsia="zh-CN"/>
        </w:rPr>
      </w:pPr>
      <w:r>
        <w:rPr>
          <w:rFonts w:hint="eastAsia" w:ascii="宋体" w:hAnsi="宋体" w:eastAsia="宋体" w:cs="宋体"/>
          <w:b/>
          <w:bCs w:val="0"/>
          <w:i w:val="0"/>
          <w:caps w:val="0"/>
          <w:color w:val="333333"/>
          <w:spacing w:val="0"/>
          <w:sz w:val="44"/>
          <w:szCs w:val="44"/>
          <w:shd w:val="clear" w:color="auto" w:fill="FFFFFF"/>
          <w:lang w:val="en-US" w:eastAsia="zh-CN"/>
        </w:rPr>
        <w:t>系统、高清电子内镜）</w:t>
      </w:r>
    </w:p>
    <w:p>
      <w:pPr>
        <w:pStyle w:val="1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《上饶市医疗设备器械采购内控工作监督管理办法（暂行）》的具体要求，</w:t>
      </w:r>
      <w:r>
        <w:rPr>
          <w:rFonts w:hint="eastAsia" w:ascii="仿宋_GB2312" w:hAnsi="仿宋_GB2312" w:eastAsia="仿宋_GB2312" w:cs="仿宋_GB2312"/>
          <w:sz w:val="32"/>
          <w:szCs w:val="32"/>
          <w:lang w:eastAsia="zh-CN"/>
        </w:rPr>
        <w:t>现对铅山县湖坊镇中心卫生院采购</w:t>
      </w:r>
      <w:r>
        <w:rPr>
          <w:rFonts w:hint="eastAsia" w:ascii="仿宋_GB2312" w:hAnsi="仿宋_GB2312" w:eastAsia="仿宋_GB2312" w:cs="仿宋_GB2312"/>
          <w:sz w:val="32"/>
          <w:szCs w:val="32"/>
          <w:lang w:val="en-US" w:eastAsia="zh-CN"/>
        </w:rPr>
        <w:t>高端彩色多普勒超声诊断系统、高清电子内镜</w:t>
      </w:r>
      <w:r>
        <w:rPr>
          <w:rFonts w:hint="eastAsia" w:ascii="仿宋_GB2312" w:hAnsi="仿宋_GB2312" w:eastAsia="仿宋_GB2312" w:cs="仿宋_GB2312"/>
          <w:sz w:val="32"/>
          <w:szCs w:val="32"/>
          <w:lang w:eastAsia="zh-CN"/>
        </w:rPr>
        <w:t>医疗设备进行公开询价。</w:t>
      </w:r>
      <w:r>
        <w:rPr>
          <w:rFonts w:hint="eastAsia" w:ascii="仿宋" w:hAnsi="仿宋" w:eastAsia="仿宋" w:cs="仿宋"/>
          <w:color w:val="auto"/>
          <w:sz w:val="32"/>
          <w:szCs w:val="32"/>
          <w:lang w:eastAsia="zh-CN"/>
        </w:rPr>
        <w:t>本次公开征询情况将作为采购人编制政府采购招标文件最高限价、主要技术指标及配置的参考依据，</w:t>
      </w:r>
      <w:r>
        <w:rPr>
          <w:rFonts w:hint="eastAsia" w:ascii="仿宋" w:hAnsi="仿宋" w:eastAsia="仿宋" w:cs="仿宋"/>
          <w:color w:val="auto"/>
          <w:sz w:val="32"/>
          <w:szCs w:val="32"/>
        </w:rPr>
        <w:t>欢迎广大符合要求的生产企业及经营企业积极参与。现将有关事项公告如下：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采购项目及需求</w:t>
      </w:r>
    </w:p>
    <w:tbl>
      <w:tblPr>
        <w:tblStyle w:val="32"/>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62"/>
        <w:gridCol w:w="1169"/>
        <w:gridCol w:w="1059"/>
        <w:gridCol w:w="452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64" w:hRule="atLeast"/>
          <w:tblHeader/>
          <w:jc w:val="center"/>
        </w:trPr>
        <w:tc>
          <w:tcPr>
            <w:tcW w:w="1062"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序号</w:t>
            </w:r>
          </w:p>
        </w:tc>
        <w:tc>
          <w:tcPr>
            <w:tcW w:w="1169"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品目</w:t>
            </w:r>
          </w:p>
        </w:tc>
        <w:tc>
          <w:tcPr>
            <w:tcW w:w="1059"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数量</w:t>
            </w:r>
          </w:p>
        </w:tc>
        <w:tc>
          <w:tcPr>
            <w:tcW w:w="4521"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kern w:val="0"/>
                <w:sz w:val="32"/>
                <w:szCs w:val="32"/>
              </w:rPr>
            </w:pPr>
            <w:r>
              <w:rPr>
                <w:rFonts w:hint="eastAsia" w:ascii="仿宋" w:hAnsi="仿宋" w:eastAsia="仿宋" w:cs="仿宋"/>
                <w:color w:val="auto"/>
                <w:spacing w:val="8"/>
                <w:kern w:val="0"/>
                <w:sz w:val="32"/>
                <w:szCs w:val="32"/>
              </w:rPr>
              <w:t>主要技术指标</w:t>
            </w:r>
          </w:p>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（基本配置和功能要求）</w:t>
            </w:r>
          </w:p>
        </w:tc>
        <w:tc>
          <w:tcPr>
            <w:tcW w:w="1349"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lang w:eastAsia="zh-CN"/>
              </w:rPr>
            </w:pPr>
            <w:r>
              <w:rPr>
                <w:rFonts w:hint="eastAsia" w:ascii="仿宋" w:hAnsi="仿宋" w:eastAsia="仿宋" w:cs="仿宋"/>
                <w:color w:val="auto"/>
                <w:spacing w:val="8"/>
                <w:kern w:val="0"/>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30" w:hRule="atLeast"/>
          <w:jc w:val="center"/>
        </w:trPr>
        <w:tc>
          <w:tcPr>
            <w:tcW w:w="1062"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default"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w:t>
            </w:r>
          </w:p>
        </w:tc>
        <w:tc>
          <w:tcPr>
            <w:tcW w:w="116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高端彩色多普勒超声诊断</w:t>
            </w:r>
          </w:p>
          <w:p>
            <w:pPr>
              <w:jc w:val="center"/>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系统</w:t>
            </w:r>
          </w:p>
        </w:tc>
        <w:tc>
          <w:tcPr>
            <w:tcW w:w="1059" w:type="dxa"/>
            <w:shd w:val="clear" w:color="auto" w:fill="FFFFFF"/>
            <w:noWrap w:val="0"/>
            <w:tcMar>
              <w:top w:w="75" w:type="dxa"/>
              <w:left w:w="150" w:type="dxa"/>
              <w:bottom w:w="75" w:type="dxa"/>
              <w:right w:w="150" w:type="dxa"/>
            </w:tcMar>
            <w:vAlign w:val="center"/>
          </w:tcPr>
          <w:p>
            <w:pPr>
              <w:jc w:val="center"/>
              <w:rPr>
                <w:rFonts w:hint="default" w:ascii="仿宋" w:hAnsi="仿宋" w:eastAsia="仿宋" w:cs="仿宋"/>
                <w:b w:val="0"/>
                <w:bCs w:val="0"/>
                <w:kern w:val="2"/>
                <w:sz w:val="21"/>
                <w:szCs w:val="22"/>
                <w:lang w:val="en-US" w:eastAsia="zh-CN" w:bidi="ar-SA"/>
              </w:rPr>
            </w:pPr>
            <w:r>
              <w:rPr>
                <w:rFonts w:hint="eastAsia" w:ascii="仿宋" w:hAnsi="仿宋" w:eastAsia="仿宋" w:cs="仿宋"/>
                <w:b w:val="0"/>
                <w:bCs w:val="0"/>
                <w:kern w:val="2"/>
                <w:sz w:val="21"/>
                <w:szCs w:val="22"/>
                <w:lang w:val="en-US" w:eastAsia="zh-CN" w:bidi="ar-SA"/>
              </w:rPr>
              <w:t>1台</w:t>
            </w:r>
          </w:p>
        </w:tc>
        <w:tc>
          <w:tcPr>
            <w:tcW w:w="4521"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货物名称：全数字高端彩色多普勒超声诊断仪</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 xml:space="preserve">用途说明：腹部、产科、妇科、心脏、小器官、泌尿、血管、儿科、急诊、麻醉、介入、神经、肌骨、颅脑及其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主机系统性能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全数字化彩色多普勒超声诊断系统主机</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≥21”高分辨率彩色液晶显示器</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 xml:space="preserve"> ≥13”彩色液晶触摸屏,  触摸屏可独立调整角度</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主机内置5个大小一致探头接口，4个全激活互通互用</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实时宽景成像（支持二维灰阶，具备速度提示、图像旋转功能；并支持彩色多普勒、能量多普勒实时宽景）</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腔内实时温控技术，温度值在显示器上体现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斑点噪音抑制≥5档可调，扩展成像≥2档可调，二维/彩色双实时对比成像。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局部放大：≥10倍，18级以上档位调节</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穿刺引导功能：支持单线和双线区间引导两种方式，可调节位置及角度；支持碎石引导线</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穿刺针增强技术</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基础测量包，2B模式下支持双幅跨幅测量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剖面血流，彩色多普勒模式下无需激活频谱即可测量血管截面瞬时的血流量，显示最大速度、平均速度、血流量，补偿角度可调</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定点测速功能，彩色多普勒模式下可同屏测量血管腔内≥7个任意位置的血流速度</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专科测量软件包，自动生成报告</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产科测量软件包：4胞胎对比测量分析，胎儿生长曲线显示、胎儿解剖结构描述、胎儿生理评分、支持NT自动测量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心脏测量软件包：心肌功能指数，支持心内膜自动描迹</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泌尿测量软件包</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小器官测量软件包</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11"/>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儿科测量软件包：</w:t>
            </w:r>
            <w:r>
              <w:rPr>
                <w:rFonts w:hint="default" w:ascii="仿宋" w:hAnsi="仿宋" w:eastAsia="仿宋" w:cs="仿宋"/>
                <w:b w:val="0"/>
                <w:bCs w:val="0"/>
                <w:i w:val="0"/>
                <w:caps w:val="0"/>
                <w:spacing w:val="-11"/>
                <w:w w:val="100"/>
                <w:kern w:val="2"/>
                <w:sz w:val="21"/>
                <w:szCs w:val="22"/>
                <w:lang w:val="en-US" w:eastAsia="zh-CN" w:bidi="ar-SA"/>
              </w:rPr>
              <w:t>髋关节测量可显示Graf法分类</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血管测量软件包：IMT血管内中膜自动测量，具备前、后壁同屏独立测量显示</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电影回放及原始数据处理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支持手动、自动回放，支持4D 电影自动回放</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扫描线：每帧线密度≥230超声线</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焦点个数：≥10个</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预设条件：针对不同的检查脏器，预置最佳化图像的检查条件，减少操作时的调节，并以脏器图形化直观显示并配有部位名称，而非单独的中文或英文显示。</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TGC: ≥8段，LGC: ≥6段，动态范围: ≥270，可视可调，增益调节≥200，最大显示深度≥40.0cm。</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伪彩图谱: ≥12种</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智能血流追踪技术，单键操作，取样框自动识别并追踪血管位置及血流方向，同时自动偏转</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彩色基线调节：±15级可调</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11"/>
                <w:w w:val="100"/>
                <w:kern w:val="2"/>
                <w:sz w:val="21"/>
                <w:szCs w:val="22"/>
                <w:lang w:val="en-US" w:eastAsia="zh-CN" w:bidi="ar-SA"/>
              </w:rPr>
            </w:pPr>
            <w:r>
              <w:rPr>
                <w:rFonts w:hint="default" w:ascii="仿宋" w:hAnsi="仿宋" w:eastAsia="仿宋" w:cs="仿宋"/>
                <w:b w:val="0"/>
                <w:bCs w:val="0"/>
                <w:i w:val="0"/>
                <w:caps w:val="0"/>
                <w:spacing w:val="-11"/>
                <w:w w:val="100"/>
                <w:kern w:val="2"/>
                <w:sz w:val="21"/>
                <w:szCs w:val="22"/>
                <w:lang w:val="en-US" w:eastAsia="zh-CN" w:bidi="ar-SA"/>
              </w:rPr>
              <w:t>包括脉冲多普勒、高脉冲重复频率、连续多普勒</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显示方式：PW，B/PW, B/C/PW, B/CW, B/C/CW，HPRF等</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PW实时自动跟踪测速，随着取样门位置改变，PW速度可进行自动跟踪测量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彩色滤波器具有自动和手动技术：调节脉冲重复频率时，壁滤波器自动进行相应优化调节</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 xml:space="preserve"> 取样容积：1-20mm，零位移动：≥8 级，快速角度校正，支持频谱自动测量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 xml:space="preserve"> 卵泡自动测量，在3D立体数据下，一键自动分割无回声结构，以不同的颜色区分显示不同位置和大小的无回声结构。并自动测量卵泡直径、X轴长度、Y轴长度、Z轴长度、三个轴的平均值和体积。最大可显示20组数据。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支持胎儿面部自动识别，通过自动识别胎儿脸部结构，一键去除遮挡胎儿面部的组织，可减免医生反复采集和剪切操作，提高效率。</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探头规格</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支持探头类型：凸阵、相控阵、线阵、腔内、腹部容积、腔内容积、双平面、指夹式探头及腹腔镜探头等</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探头频率：宽频变频探头,二维、谐波、彩色及频谱多普勒模式分别独立变频≥4段</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 xml:space="preserve"> 凸阵探头: 1.5-6.5 MHz，最大探测深度≥29cm，线阵探头: 4-15.5 MHz。</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配置要求：腹部探头一把、浅表探头一把、心脏探头一把</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p>
        </w:tc>
        <w:tc>
          <w:tcPr>
            <w:tcW w:w="1349" w:type="dxa"/>
            <w:shd w:val="clear" w:color="auto" w:fill="FFFFFF"/>
            <w:noWrap w:val="0"/>
            <w:tcMar>
              <w:top w:w="75" w:type="dxa"/>
              <w:left w:w="150" w:type="dxa"/>
              <w:bottom w:w="75" w:type="dxa"/>
              <w:right w:w="150" w:type="dxa"/>
            </w:tcMar>
            <w:vAlign w:val="center"/>
          </w:tcPr>
          <w:p>
            <w:pPr>
              <w:keepLines w:val="0"/>
              <w:widowControl w:val="0"/>
              <w:snapToGrid/>
              <w:spacing w:before="0" w:beforeAutospacing="0" w:after="0" w:afterAutospacing="0" w:line="240" w:lineRule="auto"/>
              <w:ind w:firstLine="0" w:firstLineChars="0"/>
              <w:jc w:val="left"/>
              <w:textAlignment w:val="baseline"/>
              <w:rPr>
                <w:rFonts w:hint="eastAsia" w:ascii="仿宋" w:hAnsi="仿宋" w:eastAsia="仿宋" w:cs="仿宋"/>
                <w:b w:val="0"/>
                <w:bCs w:val="0"/>
                <w:i w:val="0"/>
                <w:caps w:val="0"/>
                <w:spacing w:val="0"/>
                <w:w w:val="1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1062"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default"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w:t>
            </w:r>
          </w:p>
        </w:tc>
        <w:tc>
          <w:tcPr>
            <w:tcW w:w="116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高清电子内镜</w:t>
            </w:r>
          </w:p>
        </w:tc>
        <w:tc>
          <w:tcPr>
            <w:tcW w:w="105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kern w:val="2"/>
                <w:sz w:val="21"/>
                <w:szCs w:val="22"/>
                <w:lang w:val="en-US" w:eastAsia="zh-CN" w:bidi="ar-SA"/>
              </w:rPr>
              <w:t>1台</w:t>
            </w:r>
          </w:p>
        </w:tc>
        <w:tc>
          <w:tcPr>
            <w:tcW w:w="4521"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 xml:space="preserve">图像处理器: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1.分体式设计，支持高清视频信号输出；</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2.具有VIST染色成像技术：与兼容冷光源的光学滤光结合，可实现光电复合染色（VIST）；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3.设备前面板按钮为触控按键，具有白平衡自动修正功能；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4.具有图像冻结功能，可通过镜体按钮、键盘、脚踏开关控制冻结功能；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5.具有色调（红色、蓝色、饱和度）调节功能：-15至+15级；</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6.具有图像放大功能，≥2.0倍；三档可调；</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7.具有色彩增强功能，0-15级，三档可调；</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8.具有构造强调功能，可选A/B模式，每种模式0-15级，三档可调；</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9.具有轮廓增强功能，0-15级，三档可调；</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10.具有对比度增强功能，低、中、高三档；</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11.具有图像亮度调节，自动增益（AGC）功能，能自动增强图像亮度；</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12.具有红蓝伪彩图显示功能；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13.具有自动、峰值、平均三种测光模式；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14.内置容量≥500G，支持图像保存和视频录制功能并能回放；通过USB接口可将录像视频、病例图像导出到外接USB储存器；</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15.输出信号接口：DVI、SDI、S-VIDEO、CVBS、VGA。</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16.支持DICOM标准协议，可通过网络传输病历数据；</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冷光源：</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1.采用LED光源；</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2.照明光源是由白光LED和蓝紫光LED合束实现照明设计的医用冷光源；</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3.支持白光和特殊光照明模式，共有≥2种照明模式；</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4.光源主灯平均连续使用寿命：≥10000小时；</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5.色温≥5000K；</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6.具有手动和自动两种调光模式，具有多级调光功能；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7.气泵流量可调，可设为高、中、低三档；</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8.主灯灯泡寿命具有指示灯显示；</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9.具有透光功能，开启后，光源以最大亮度和最小亮度闪烁输出，持续时间6~8秒，可用于对镜体头端部的定位。</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高清电子胃镜</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1.视场角≥140°；</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2.景深：3-100mm；</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3.头端部外径 ≤ 9.3mm；</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4.插入部主软管外径 ≤ 9.3mm，同时具备有辅助送水功能；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5.最小器械孔道内径 ≥ 2.8mm；</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6.弯曲角度：上≥210°下≥90°，左≥100°右≥100°；</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7.工作长度≥1050mm；</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8.镜体全长≤1350mm；</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8.镜体操作部具有≥4个自定义按钮可进行自行设定的遥控按钮；（水气按钮和吸引按钮除外）</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9.具有镜体信息存储功能。</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医用监视器：</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1.监视器为彩色医疗图像监视器，符合标准医疗监视器性能指标；</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2.监视器屏幕尺寸≥21.5英寸；</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3.分辨率≥1920×1080；</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六、台车：</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1.专业内镜用台车；</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r>
              <w:rPr>
                <w:rFonts w:hint="default" w:ascii="仿宋" w:hAnsi="仿宋" w:eastAsia="仿宋" w:cs="仿宋"/>
                <w:b w:val="0"/>
                <w:bCs w:val="0"/>
                <w:i w:val="0"/>
                <w:caps w:val="0"/>
                <w:spacing w:val="0"/>
                <w:w w:val="100"/>
                <w:kern w:val="2"/>
                <w:sz w:val="21"/>
                <w:szCs w:val="22"/>
                <w:lang w:val="en-US" w:eastAsia="zh-CN" w:bidi="ar-SA"/>
              </w:rPr>
              <w:t>2.监视器承载臂可360°旋转调节。</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仿宋" w:hAnsi="仿宋" w:eastAsia="仿宋" w:cs="仿宋"/>
                <w:b w:val="0"/>
                <w:bCs w:val="0"/>
                <w:i w:val="0"/>
                <w:caps w:val="0"/>
                <w:spacing w:val="0"/>
                <w:w w:val="100"/>
                <w:kern w:val="2"/>
                <w:sz w:val="21"/>
                <w:szCs w:val="22"/>
                <w:lang w:val="en-US" w:eastAsia="zh-CN" w:bidi="ar-SA"/>
              </w:rPr>
            </w:pPr>
          </w:p>
        </w:tc>
        <w:tc>
          <w:tcPr>
            <w:tcW w:w="1349" w:type="dxa"/>
            <w:shd w:val="clear" w:color="auto" w:fill="FFFFFF"/>
            <w:noWrap w:val="0"/>
            <w:tcMar>
              <w:top w:w="75" w:type="dxa"/>
              <w:left w:w="150" w:type="dxa"/>
              <w:bottom w:w="75" w:type="dxa"/>
              <w:right w:w="150" w:type="dxa"/>
            </w:tcMar>
            <w:vAlign w:val="center"/>
          </w:tcPr>
          <w:p>
            <w:pPr>
              <w:keepLines w:val="0"/>
              <w:widowControl w:val="0"/>
              <w:snapToGrid/>
              <w:spacing w:before="0" w:beforeAutospacing="0" w:after="0" w:afterAutospacing="0" w:line="240" w:lineRule="auto"/>
              <w:ind w:firstLine="0" w:firstLineChars="0"/>
              <w:jc w:val="left"/>
              <w:textAlignment w:val="baseline"/>
              <w:rPr>
                <w:rFonts w:hint="eastAsia" w:ascii="仿宋" w:hAnsi="仿宋" w:eastAsia="仿宋" w:cs="仿宋"/>
                <w:b w:val="0"/>
                <w:bCs w:val="0"/>
                <w:i w:val="0"/>
                <w:caps w:val="0"/>
                <w:spacing w:val="0"/>
                <w:w w:val="100"/>
                <w:sz w:val="21"/>
                <w:lang w:val="en-US" w:eastAsia="zh-CN"/>
              </w:rPr>
            </w:pPr>
          </w:p>
        </w:tc>
      </w:tr>
    </w:tbl>
    <w:p>
      <w:pPr>
        <w:keepNext w:val="0"/>
        <w:keepLines w:val="0"/>
        <w:pageBreakBefore w:val="0"/>
        <w:widowControl/>
        <w:kinsoku/>
        <w:wordWrap/>
        <w:overflowPunct/>
        <w:topLinePunct w:val="0"/>
        <w:autoSpaceDE/>
        <w:autoSpaceDN/>
        <w:bidi w:val="0"/>
        <w:adjustRightInd/>
        <w:snapToGrid/>
        <w:spacing w:line="500" w:lineRule="exact"/>
        <w:ind w:leftChars="0"/>
        <w:jc w:val="both"/>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kern w:val="0"/>
          <w:sz w:val="32"/>
          <w:szCs w:val="32"/>
        </w:rPr>
        <w:t>二、</w:t>
      </w:r>
      <w:r>
        <w:rPr>
          <w:rFonts w:hint="eastAsia" w:ascii="黑体" w:hAnsi="黑体" w:eastAsia="黑体" w:cs="黑体"/>
          <w:b w:val="0"/>
          <w:bCs w:val="0"/>
          <w:color w:val="auto"/>
          <w:sz w:val="32"/>
          <w:szCs w:val="32"/>
        </w:rPr>
        <w:t>公告时间</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三、报名时间、地点及方式</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17:00时前 </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地点：</w:t>
      </w:r>
      <w:r>
        <w:rPr>
          <w:rFonts w:hint="eastAsia" w:ascii="仿宋_GB2312" w:hAnsi="仿宋_GB2312" w:eastAsia="仿宋_GB2312" w:cs="仿宋_GB2312"/>
          <w:sz w:val="32"/>
          <w:szCs w:val="32"/>
          <w:lang w:val="en-US" w:eastAsia="zh-CN"/>
        </w:rPr>
        <w:t xml:space="preserve">铅山县卫健委项目办  </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3.</w:t>
      </w:r>
      <w:r>
        <w:rPr>
          <w:rFonts w:hint="eastAsia" w:ascii="黑体" w:hAnsi="黑体" w:eastAsia="黑体" w:cs="黑体"/>
          <w:b w:val="0"/>
          <w:bCs w:val="0"/>
          <w:color w:val="auto"/>
          <w:sz w:val="32"/>
          <w:szCs w:val="32"/>
        </w:rPr>
        <w:t>报名方式：</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现场报名，同时递交法人授权委托书、参询代表身份证复印件及产品相关授权书复印件等</w:t>
      </w:r>
      <w:r>
        <w:rPr>
          <w:rFonts w:hint="eastAsia" w:ascii="仿宋" w:hAnsi="仿宋" w:eastAsia="仿宋" w:cs="仿宋"/>
          <w:color w:val="auto"/>
          <w:sz w:val="32"/>
          <w:szCs w:val="32"/>
          <w:lang w:eastAsia="zh-CN"/>
        </w:rPr>
        <w:t>印</w:t>
      </w:r>
      <w:r>
        <w:rPr>
          <w:rFonts w:hint="eastAsia" w:ascii="仿宋" w:hAnsi="仿宋" w:eastAsia="仿宋" w:cs="仿宋"/>
          <w:color w:val="auto"/>
          <w:sz w:val="32"/>
          <w:szCs w:val="32"/>
        </w:rPr>
        <w:t>证材料。</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外地参询企业可以电话报名，相关印证材料邮寄或电子版发送。</w:t>
      </w:r>
    </w:p>
    <w:p>
      <w:pPr>
        <w:keepNext w:val="0"/>
        <w:keepLines w:val="0"/>
        <w:pageBreakBefore w:val="0"/>
        <w:widowControl w:val="0"/>
        <w:kinsoku/>
        <w:wordWrap/>
        <w:overflowPunct/>
        <w:topLinePunct w:val="0"/>
        <w:autoSpaceDE/>
        <w:autoSpaceDN/>
        <w:bidi w:val="0"/>
        <w:adjustRightInd/>
        <w:snapToGrid/>
        <w:spacing w:beforeAutospacing="0" w:after="0" w:afterAutospacing="0" w:line="500" w:lineRule="exact"/>
        <w:ind w:left="0" w:leftChars="0"/>
        <w:jc w:val="both"/>
        <w:textAlignment w:val="baseline"/>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rPr>
        <w:t>4.联系人及联系方式：</w:t>
      </w:r>
      <w:r>
        <w:rPr>
          <w:rFonts w:hint="eastAsia" w:ascii="仿宋" w:hAnsi="仿宋" w:eastAsia="仿宋" w:cs="仿宋"/>
          <w:color w:val="auto"/>
          <w:sz w:val="32"/>
          <w:szCs w:val="32"/>
          <w:lang w:eastAsia="zh-CN"/>
        </w:rPr>
        <w:t>刘女士</w:t>
      </w:r>
      <w:r>
        <w:rPr>
          <w:rFonts w:hint="eastAsia" w:ascii="仿宋" w:hAnsi="仿宋" w:eastAsia="仿宋" w:cs="仿宋"/>
          <w:b w:val="0"/>
          <w:i w:val="0"/>
          <w:caps w:val="0"/>
          <w:spacing w:val="0"/>
          <w:w w:val="100"/>
          <w:sz w:val="32"/>
          <w:szCs w:val="32"/>
        </w:rPr>
        <w:t>0793-7962077</w:t>
      </w:r>
      <w:r>
        <w:rPr>
          <w:rFonts w:hint="eastAsia" w:ascii="仿宋" w:hAnsi="仿宋" w:eastAsia="仿宋" w:cs="仿宋"/>
          <w:b w:val="0"/>
          <w:i w:val="0"/>
          <w:caps w:val="0"/>
          <w:spacing w:val="0"/>
          <w:w w:val="100"/>
          <w:sz w:val="32"/>
          <w:szCs w:val="32"/>
          <w:lang w:val="en-US" w:eastAsia="zh-CN"/>
        </w:rPr>
        <w:t xml:space="preserve">  15907037200</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5.所有符合报名条件的机构均可参加报名，采购人不得以任何理由拒绝。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jc w:val="both"/>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6.监督电话：</w:t>
      </w:r>
      <w:r>
        <w:rPr>
          <w:rFonts w:hint="eastAsia" w:ascii="仿宋" w:hAnsi="仿宋" w:eastAsia="仿宋" w:cs="仿宋"/>
          <w:color w:val="auto"/>
          <w:sz w:val="32"/>
          <w:szCs w:val="32"/>
          <w:lang w:val="en-US" w:eastAsia="zh-CN"/>
        </w:rPr>
        <w:t>0793-5332328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价格征询会时间、地点</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日下午</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jc w:val="both"/>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地点：</w:t>
      </w:r>
      <w:r>
        <w:rPr>
          <w:rFonts w:hint="eastAsia" w:ascii="仿宋" w:hAnsi="仿宋" w:eastAsia="仿宋" w:cs="仿宋"/>
          <w:b w:val="0"/>
          <w:i w:val="0"/>
          <w:caps w:val="0"/>
          <w:spacing w:val="0"/>
          <w:w w:val="100"/>
          <w:sz w:val="32"/>
          <w:szCs w:val="32"/>
          <w:lang w:eastAsia="zh-CN"/>
        </w:rPr>
        <w:t>铅山县</w:t>
      </w:r>
      <w:r>
        <w:rPr>
          <w:rFonts w:hint="eastAsia" w:ascii="仿宋" w:hAnsi="仿宋" w:eastAsia="仿宋" w:cs="仿宋"/>
          <w:b w:val="0"/>
          <w:i w:val="0"/>
          <w:caps w:val="0"/>
          <w:spacing w:val="0"/>
          <w:w w:val="100"/>
          <w:sz w:val="32"/>
          <w:szCs w:val="32"/>
        </w:rPr>
        <w:t>卫健委</w:t>
      </w:r>
      <w:r>
        <w:rPr>
          <w:rFonts w:hint="eastAsia" w:ascii="仿宋" w:hAnsi="仿宋" w:eastAsia="仿宋" w:cs="仿宋"/>
          <w:b w:val="0"/>
          <w:i w:val="0"/>
          <w:caps w:val="0"/>
          <w:spacing w:val="0"/>
          <w:w w:val="100"/>
          <w:sz w:val="32"/>
          <w:szCs w:val="32"/>
          <w:lang w:val="en-US" w:eastAsia="zh-CN"/>
        </w:rPr>
        <w:t>1号楼一</w:t>
      </w:r>
      <w:r>
        <w:rPr>
          <w:rFonts w:hint="eastAsia" w:ascii="仿宋" w:hAnsi="仿宋" w:eastAsia="仿宋" w:cs="仿宋"/>
          <w:b w:val="0"/>
          <w:i w:val="0"/>
          <w:caps w:val="0"/>
          <w:spacing w:val="0"/>
          <w:w w:val="100"/>
          <w:sz w:val="32"/>
          <w:szCs w:val="32"/>
        </w:rPr>
        <w:t>楼会议室</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五、参询单位需提供的相关材料</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0"/>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 xml:space="preserve">1、响应函；  </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0"/>
          <w:sz w:val="32"/>
          <w:szCs w:val="32"/>
          <w:lang w:val="en-US" w:eastAsia="zh-CN" w:bidi="ar-SA"/>
        </w:rPr>
        <w:t>2、询价品种报价表（格式见附表1）；</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0"/>
          <w:sz w:val="32"/>
          <w:szCs w:val="32"/>
          <w:lang w:val="en-US" w:eastAsia="zh-CN" w:bidi="ar-SA"/>
        </w:rPr>
        <w:t>3、产品详细配置清单（格式见附表2） ；</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0"/>
          <w:sz w:val="32"/>
          <w:szCs w:val="32"/>
          <w:lang w:val="en-US" w:eastAsia="zh-CN" w:bidi="ar-SA"/>
        </w:rPr>
        <w:t>4、参询产品的参数响应表(响应/偏离)(格式见附表3)；</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0"/>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5、参询产品的详细参数和功能介绍（需提供产品生产厂家盖章的产品详细参数技术白皮书）及产品的彩页；</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0"/>
          <w:sz w:val="32"/>
          <w:szCs w:val="32"/>
          <w:lang w:val="en-US" w:eastAsia="zh-CN" w:bidi="ar-SA"/>
        </w:rPr>
      </w:pPr>
      <w:r>
        <w:rPr>
          <w:rStyle w:val="41"/>
          <w:rFonts w:hint="eastAsia" w:ascii="仿宋" w:hAnsi="仿宋" w:eastAsia="仿宋" w:cs="仿宋"/>
          <w:b w:val="0"/>
          <w:i w:val="0"/>
          <w:caps w:val="0"/>
          <w:color w:val="auto"/>
          <w:spacing w:val="0"/>
          <w:w w:val="100"/>
          <w:kern w:val="0"/>
          <w:sz w:val="32"/>
          <w:szCs w:val="32"/>
          <w:lang w:val="en-US" w:eastAsia="zh-CN" w:bidi="ar-SA"/>
        </w:rPr>
        <w:t>6、参询产品的相关资质证明材料</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0"/>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6.1生产企业营业执照（三证合一证）复印件；</w:t>
      </w:r>
    </w:p>
    <w:p>
      <w:pPr>
        <w:keepNext w:val="0"/>
        <w:keepLines w:val="0"/>
        <w:pageBreakBefore w:val="0"/>
        <w:widowControl w:val="0"/>
        <w:tabs>
          <w:tab w:val="left" w:pos="425"/>
        </w:tabs>
        <w:kinsoku/>
        <w:wordWrap/>
        <w:overflowPunct/>
        <w:topLinePunct w:val="0"/>
        <w:autoSpaceDE/>
        <w:autoSpaceDN/>
        <w:bidi w:val="0"/>
        <w:adjustRightInd/>
        <w:snapToGrid w:val="0"/>
        <w:spacing w:beforeAutospacing="0" w:after="0" w:afterAutospacing="0" w:line="500" w:lineRule="exact"/>
        <w:ind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 xml:space="preserve">6.2生产企业《医疗器械生产企业许可证》或《医疗器械经营企业许可证》复印件 ； </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6.3医疗器械产品注册证及注册登记表复印件；</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0"/>
          <w:sz w:val="32"/>
          <w:szCs w:val="32"/>
          <w:lang w:val="en-US" w:eastAsia="zh-CN" w:bidi="ar-SA"/>
        </w:rPr>
        <w:t>6.4厂家售后服务方案及承诺书；</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7、产品业绩材料（需提供与参询产品同规格的产品中标公告或销售合同复印件）；</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0"/>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8、参</w:t>
      </w:r>
      <w:r>
        <w:rPr>
          <w:rStyle w:val="41"/>
          <w:rFonts w:hint="eastAsia" w:ascii="仿宋" w:hAnsi="仿宋" w:eastAsia="仿宋" w:cs="仿宋"/>
          <w:b w:val="0"/>
          <w:i w:val="0"/>
          <w:caps w:val="0"/>
          <w:color w:val="auto"/>
          <w:spacing w:val="0"/>
          <w:w w:val="100"/>
          <w:kern w:val="0"/>
          <w:sz w:val="32"/>
          <w:szCs w:val="32"/>
          <w:lang w:val="en-US" w:eastAsia="zh-CN" w:bidi="ar-SA"/>
        </w:rPr>
        <w:t>询</w:t>
      </w:r>
      <w:r>
        <w:rPr>
          <w:rStyle w:val="41"/>
          <w:rFonts w:hint="eastAsia" w:ascii="仿宋" w:hAnsi="仿宋" w:eastAsia="仿宋" w:cs="仿宋"/>
          <w:b w:val="0"/>
          <w:i w:val="0"/>
          <w:caps w:val="0"/>
          <w:color w:val="auto"/>
          <w:spacing w:val="0"/>
          <w:w w:val="100"/>
          <w:kern w:val="2"/>
          <w:sz w:val="32"/>
          <w:szCs w:val="32"/>
          <w:lang w:val="en-US" w:eastAsia="zh-CN" w:bidi="ar-SA"/>
        </w:rPr>
        <w:t>企业的资质证明材料</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8.1营业执照（三证合一证）复印件；</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8.2《医疗器械生产企业许可证》或《医疗器械经营企业许可证》复印件；</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8.3法人授权委托书、参询代表身份证复印件。</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8.4进口产品需附产品授权书。</w:t>
      </w:r>
    </w:p>
    <w:p>
      <w:pPr>
        <w:keepNext w:val="0"/>
        <w:keepLines w:val="0"/>
        <w:pageBreakBefore w:val="0"/>
        <w:widowControl w:val="0"/>
        <w:tabs>
          <w:tab w:val="left" w:pos="229"/>
        </w:tabs>
        <w:kinsoku/>
        <w:wordWrap/>
        <w:overflowPunct/>
        <w:topLinePunct w:val="0"/>
        <w:autoSpaceDE/>
        <w:autoSpaceDN/>
        <w:bidi w:val="0"/>
        <w:adjustRightInd/>
        <w:snapToGrid w:val="0"/>
        <w:spacing w:beforeAutospacing="0" w:after="0" w:afterAutospacing="0" w:line="500" w:lineRule="exact"/>
        <w:ind w:left="0" w:leftChars="0" w:firstLine="480" w:firstLineChars="150"/>
        <w:jc w:val="both"/>
        <w:textAlignment w:val="baseline"/>
        <w:outlineLvl w:val="9"/>
        <w:rPr>
          <w:rStyle w:val="41"/>
          <w:rFonts w:hint="eastAsia" w:ascii="仿宋" w:hAnsi="仿宋" w:eastAsia="仿宋" w:cs="仿宋"/>
          <w:b w:val="0"/>
          <w:i w:val="0"/>
          <w:caps w:val="0"/>
          <w:color w:val="auto"/>
          <w:spacing w:val="0"/>
          <w:w w:val="100"/>
          <w:kern w:val="2"/>
          <w:sz w:val="32"/>
          <w:szCs w:val="32"/>
          <w:lang w:val="en-US" w:eastAsia="zh-CN" w:bidi="ar-SA"/>
        </w:rPr>
      </w:pPr>
      <w:r>
        <w:rPr>
          <w:rStyle w:val="41"/>
          <w:rFonts w:hint="eastAsia" w:ascii="仿宋" w:hAnsi="仿宋" w:eastAsia="仿宋" w:cs="仿宋"/>
          <w:b w:val="0"/>
          <w:i w:val="0"/>
          <w:caps w:val="0"/>
          <w:color w:val="auto"/>
          <w:spacing w:val="0"/>
          <w:w w:val="100"/>
          <w:kern w:val="2"/>
          <w:sz w:val="32"/>
          <w:szCs w:val="32"/>
          <w:lang w:val="en-US" w:eastAsia="zh-CN" w:bidi="ar-SA"/>
        </w:rPr>
        <w:t>参询材料分开装订，一正两副共三份加盖参询单位公章，参询方在参加征询会时现场递交。</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六、参询文件编制的注意事项</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1.1参询单位应认真、仔细阅读招标文件中所有的事项、格式、条款和规范等要求</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1.2参询人应以无线胶装的形式按投标文件的</w:t>
      </w:r>
      <w:r>
        <w:rPr>
          <w:rFonts w:hint="eastAsia" w:ascii="仿宋" w:hAnsi="仿宋" w:eastAsia="仿宋" w:cs="仿宋"/>
          <w:color w:val="auto"/>
          <w:sz w:val="32"/>
          <w:szCs w:val="32"/>
          <w:lang w:eastAsia="zh-CN"/>
        </w:rPr>
        <w:t>格式按</w:t>
      </w:r>
      <w:r>
        <w:rPr>
          <w:rFonts w:hint="eastAsia" w:ascii="仿宋" w:hAnsi="仿宋" w:eastAsia="仿宋" w:cs="仿宋"/>
          <w:color w:val="auto"/>
          <w:sz w:val="32"/>
          <w:szCs w:val="32"/>
        </w:rPr>
        <w:t>顺序编</w:t>
      </w:r>
      <w:r>
        <w:rPr>
          <w:rFonts w:hint="eastAsia" w:ascii="仿宋" w:hAnsi="仿宋" w:eastAsia="仿宋" w:cs="仿宋"/>
          <w:color w:val="auto"/>
          <w:sz w:val="32"/>
          <w:szCs w:val="32"/>
          <w:lang w:eastAsia="zh-CN"/>
        </w:rPr>
        <w:t>制</w:t>
      </w:r>
      <w:r>
        <w:rPr>
          <w:rFonts w:hint="eastAsia" w:ascii="仿宋" w:hAnsi="仿宋" w:eastAsia="仿宋" w:cs="仿宋"/>
          <w:color w:val="auto"/>
          <w:sz w:val="32"/>
          <w:szCs w:val="32"/>
        </w:rPr>
        <w:t xml:space="preserve">目录及页码装订成册，否则材料丢失引起的后果自负。                   </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1.3参询文件分为正、副本，副本可为正本的复印件。</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1.4参询文件及往来函件均须用中文书写。</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1.5参询人应按要求，规范、明确、准时的提交</w:t>
      </w:r>
      <w:r>
        <w:rPr>
          <w:rFonts w:hint="eastAsia" w:ascii="仿宋" w:hAnsi="仿宋" w:eastAsia="仿宋" w:cs="仿宋"/>
          <w:color w:val="auto"/>
          <w:kern w:val="0"/>
          <w:sz w:val="32"/>
          <w:szCs w:val="32"/>
        </w:rPr>
        <w:t>参询材料</w:t>
      </w:r>
      <w:r>
        <w:rPr>
          <w:rFonts w:hint="eastAsia" w:ascii="仿宋" w:hAnsi="仿宋" w:eastAsia="仿宋" w:cs="仿宋"/>
          <w:color w:val="auto"/>
          <w:sz w:val="32"/>
          <w:szCs w:val="32"/>
        </w:rPr>
        <w:t>。如果没有按照公告要求提交全部资料并保证所提供全部资料的真实性，其风险由参询方自行承担</w:t>
      </w:r>
      <w:r>
        <w:rPr>
          <w:rFonts w:hint="eastAsia" w:ascii="仿宋" w:hAnsi="仿宋" w:eastAsia="仿宋" w:cs="仿宋"/>
          <w:color w:val="auto"/>
          <w:sz w:val="32"/>
          <w:szCs w:val="32"/>
          <w:lang w:eastAsia="zh-CN"/>
        </w:rPr>
        <w:t>。</w:t>
      </w:r>
    </w:p>
    <w:p>
      <w:pPr>
        <w:pStyle w:val="10"/>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参询方应根据参数需求如实编制参数响应表，提供产品实际参数值并标明正负偏离。如虚假响应，视情节轻重取消该企业本次参询资格或纳入失信企业名单。纳入失信名单的企业将不得再次在本区域内参加设备参询。</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七、参询报价</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1.1参询企业可就询价项目中某个产品或全部产品进行参询报价，报价表每个参询产品分开填报。</w:t>
      </w:r>
    </w:p>
    <w:p>
      <w:pPr>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1.2参询人如有不同品牌、不同规格产品参询，可分别报价；所参询品种含设备易损件及主要部件，需同时报价。</w:t>
      </w:r>
    </w:p>
    <w:p>
      <w:pPr>
        <w:pStyle w:val="10"/>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1.3、所参询产品如属限价品种，须同时提供江西省医用设备和医用耗材采购监管平台中医用设备（医用耗材）最高限价，</w:t>
      </w:r>
      <w:r>
        <w:rPr>
          <w:rFonts w:hint="eastAsia" w:ascii="仿宋" w:hAnsi="仿宋" w:eastAsia="仿宋" w:cs="仿宋"/>
          <w:color w:val="auto"/>
          <w:sz w:val="32"/>
          <w:szCs w:val="32"/>
          <w:lang w:eastAsia="zh-CN"/>
        </w:rPr>
        <w:t>本次参询</w:t>
      </w:r>
      <w:r>
        <w:rPr>
          <w:rFonts w:hint="eastAsia" w:ascii="仿宋" w:hAnsi="仿宋" w:eastAsia="仿宋" w:cs="仿宋"/>
          <w:color w:val="auto"/>
          <w:sz w:val="32"/>
          <w:szCs w:val="32"/>
        </w:rPr>
        <w:t>报价不能超过</w:t>
      </w:r>
      <w:r>
        <w:rPr>
          <w:rFonts w:hint="eastAsia" w:ascii="仿宋" w:hAnsi="仿宋" w:eastAsia="仿宋" w:cs="仿宋"/>
          <w:color w:val="auto"/>
          <w:sz w:val="32"/>
          <w:szCs w:val="32"/>
          <w:lang w:eastAsia="zh-CN"/>
        </w:rPr>
        <w:t>监管平台</w:t>
      </w:r>
      <w:r>
        <w:rPr>
          <w:rFonts w:hint="eastAsia" w:ascii="仿宋" w:hAnsi="仿宋" w:eastAsia="仿宋" w:cs="仿宋"/>
          <w:color w:val="auto"/>
          <w:sz w:val="32"/>
          <w:szCs w:val="32"/>
        </w:rPr>
        <w:t>限价</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八、价格征询</w:t>
      </w:r>
    </w:p>
    <w:p>
      <w:pPr>
        <w:pStyle w:val="15"/>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1.1价格征询会由</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卫健委采购内控领导小组指定人员主持，邀请所有参询方、专家组成员参加，委</w:t>
      </w:r>
      <w:r>
        <w:rPr>
          <w:rFonts w:hint="eastAsia" w:ascii="仿宋" w:hAnsi="仿宋" w:eastAsia="仿宋" w:cs="仿宋"/>
          <w:color w:val="auto"/>
          <w:sz w:val="32"/>
          <w:szCs w:val="32"/>
          <w:lang w:val="en-US" w:eastAsia="zh-CN"/>
        </w:rPr>
        <w:t>机关</w:t>
      </w:r>
      <w:r>
        <w:rPr>
          <w:rFonts w:hint="eastAsia" w:ascii="仿宋" w:hAnsi="仿宋" w:eastAsia="仿宋" w:cs="仿宋"/>
          <w:color w:val="auto"/>
          <w:sz w:val="32"/>
          <w:szCs w:val="32"/>
        </w:rPr>
        <w:t>纪检监察</w:t>
      </w:r>
      <w:r>
        <w:rPr>
          <w:rFonts w:hint="eastAsia" w:ascii="仿宋" w:hAnsi="仿宋" w:eastAsia="仿宋" w:cs="仿宋"/>
          <w:color w:val="auto"/>
          <w:sz w:val="32"/>
          <w:szCs w:val="32"/>
          <w:lang w:val="en-US" w:eastAsia="zh-CN"/>
        </w:rPr>
        <w:t>工作人员</w:t>
      </w:r>
      <w:r>
        <w:rPr>
          <w:rFonts w:hint="eastAsia" w:ascii="仿宋" w:hAnsi="仿宋" w:eastAsia="仿宋" w:cs="仿宋"/>
          <w:color w:val="auto"/>
          <w:sz w:val="32"/>
          <w:szCs w:val="32"/>
        </w:rPr>
        <w:t>对征询会全过程进行监督，参询方的代表人员应签到以证明其出席。</w:t>
      </w:r>
    </w:p>
    <w:p>
      <w:pPr>
        <w:pStyle w:val="15"/>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1.2 在</w:t>
      </w:r>
      <w:r>
        <w:rPr>
          <w:rFonts w:hint="eastAsia" w:ascii="仿宋" w:hAnsi="仿宋" w:eastAsia="仿宋" w:cs="仿宋"/>
          <w:color w:val="auto"/>
          <w:sz w:val="32"/>
          <w:szCs w:val="32"/>
          <w:lang w:val="en-US" w:eastAsia="zh-CN"/>
        </w:rPr>
        <w:t>委机关</w:t>
      </w:r>
      <w:r>
        <w:rPr>
          <w:rFonts w:hint="eastAsia" w:ascii="仿宋" w:hAnsi="仿宋" w:eastAsia="仿宋" w:cs="仿宋"/>
          <w:color w:val="auto"/>
          <w:sz w:val="32"/>
          <w:szCs w:val="32"/>
        </w:rPr>
        <w:t>纪检监察</w:t>
      </w:r>
      <w:r>
        <w:rPr>
          <w:rFonts w:hint="eastAsia" w:ascii="仿宋" w:hAnsi="仿宋" w:eastAsia="仿宋" w:cs="仿宋"/>
          <w:color w:val="auto"/>
          <w:sz w:val="32"/>
          <w:szCs w:val="32"/>
          <w:lang w:val="en-US" w:eastAsia="zh-CN"/>
        </w:rPr>
        <w:t>工作人员</w:t>
      </w:r>
      <w:r>
        <w:rPr>
          <w:rFonts w:hint="eastAsia" w:ascii="仿宋" w:hAnsi="仿宋" w:eastAsia="仿宋" w:cs="仿宋"/>
          <w:color w:val="auto"/>
          <w:sz w:val="32"/>
          <w:szCs w:val="32"/>
        </w:rPr>
        <w:t>监督下，从专家库随机抽取2名医疗专家、1名医装备专家共计3名专家组成临时专家组，并由专家组成员推荐一名专家为此次价格征询会专家组组长。</w:t>
      </w:r>
    </w:p>
    <w:p>
      <w:pPr>
        <w:pStyle w:val="10"/>
        <w:keepNext w:val="0"/>
        <w:keepLines w:val="0"/>
        <w:pageBreakBefore w:val="0"/>
        <w:widowControl w:val="0"/>
        <w:kinsoku/>
        <w:wordWrap/>
        <w:overflowPunct/>
        <w:topLinePunct w:val="0"/>
        <w:autoSpaceDE/>
        <w:autoSpaceDN/>
        <w:bidi w:val="0"/>
        <w:adjustRightInd/>
        <w:spacing w:line="5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1.3、价格征询应做好记录。</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九、评审原则与标准</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pacing w:val="-6"/>
          <w:sz w:val="32"/>
          <w:szCs w:val="32"/>
        </w:rPr>
      </w:pPr>
      <w:r>
        <w:rPr>
          <w:rFonts w:hint="eastAsia" w:ascii="仿宋" w:hAnsi="仿宋" w:eastAsia="仿宋" w:cs="仿宋"/>
          <w:color w:val="auto"/>
          <w:spacing w:val="-6"/>
          <w:sz w:val="32"/>
          <w:szCs w:val="32"/>
        </w:rPr>
        <w:t xml:space="preserve">1.1 </w:t>
      </w:r>
      <w:r>
        <w:rPr>
          <w:rFonts w:hint="eastAsia" w:ascii="仿宋" w:hAnsi="仿宋" w:eastAsia="仿宋" w:cs="仿宋"/>
          <w:color w:val="auto"/>
          <w:spacing w:val="-6"/>
          <w:sz w:val="32"/>
          <w:szCs w:val="32"/>
          <w:lang w:eastAsia="zh-CN"/>
        </w:rPr>
        <w:t>征询公告、参</w:t>
      </w:r>
      <w:r>
        <w:rPr>
          <w:rFonts w:hint="eastAsia" w:ascii="仿宋" w:hAnsi="仿宋" w:eastAsia="仿宋" w:cs="仿宋"/>
          <w:color w:val="auto"/>
          <w:spacing w:val="-6"/>
          <w:sz w:val="32"/>
          <w:szCs w:val="32"/>
        </w:rPr>
        <w:t>询</w:t>
      </w:r>
      <w:r>
        <w:rPr>
          <w:rFonts w:hint="eastAsia" w:ascii="仿宋" w:hAnsi="仿宋" w:eastAsia="仿宋" w:cs="仿宋"/>
          <w:color w:val="auto"/>
          <w:spacing w:val="-6"/>
          <w:sz w:val="32"/>
          <w:szCs w:val="32"/>
          <w:lang w:eastAsia="zh-CN"/>
        </w:rPr>
        <w:t>材料</w:t>
      </w:r>
      <w:r>
        <w:rPr>
          <w:rFonts w:hint="eastAsia" w:ascii="仿宋" w:hAnsi="仿宋" w:eastAsia="仿宋" w:cs="仿宋"/>
          <w:color w:val="auto"/>
          <w:spacing w:val="-6"/>
          <w:sz w:val="32"/>
          <w:szCs w:val="32"/>
        </w:rPr>
        <w:t>及相关的法律法规为评审依据。</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1.2科学评估、集体决策，体现公开、公平、公正。</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1.3质量优先、价格合理、售后有保障。</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rPr>
        <w:t>1.4以综合评价为</w:t>
      </w:r>
      <w:r>
        <w:rPr>
          <w:rFonts w:hint="eastAsia" w:ascii="仿宋" w:hAnsi="仿宋" w:eastAsia="仿宋" w:cs="仿宋"/>
          <w:color w:val="auto"/>
          <w:sz w:val="32"/>
          <w:szCs w:val="32"/>
          <w:lang w:eastAsia="zh-CN"/>
        </w:rPr>
        <w:t>原则，</w:t>
      </w:r>
      <w:r>
        <w:rPr>
          <w:rFonts w:hint="eastAsia" w:ascii="仿宋" w:hAnsi="仿宋" w:eastAsia="仿宋" w:cs="仿宋"/>
          <w:color w:val="auto"/>
          <w:sz w:val="32"/>
          <w:szCs w:val="32"/>
          <w:u w:val="none"/>
          <w:lang w:eastAsia="zh-CN"/>
        </w:rPr>
        <w:t>性价比优先</w:t>
      </w:r>
      <w:r>
        <w:rPr>
          <w:rFonts w:hint="eastAsia" w:ascii="仿宋" w:hAnsi="仿宋" w:eastAsia="仿宋" w:cs="仿宋"/>
          <w:color w:val="auto"/>
          <w:sz w:val="32"/>
          <w:szCs w:val="32"/>
          <w:u w:val="none"/>
        </w:rPr>
        <w:t>。</w:t>
      </w:r>
    </w:p>
    <w:p>
      <w:pPr>
        <w:pStyle w:val="10"/>
        <w:keepNext w:val="0"/>
        <w:keepLines w:val="0"/>
        <w:pageBreakBefore w:val="0"/>
        <w:kinsoku/>
        <w:wordWrap/>
        <w:overflowPunct/>
        <w:topLinePunct w:val="0"/>
        <w:autoSpaceDE/>
        <w:autoSpaceDN/>
        <w:bidi w:val="0"/>
        <w:adjustRightInd/>
        <w:spacing w:line="500" w:lineRule="exact"/>
        <w:rPr>
          <w:rFonts w:hint="eastAsia"/>
        </w:rPr>
      </w:pPr>
    </w:p>
    <w:p>
      <w:pPr>
        <w:keepNext w:val="0"/>
        <w:keepLines w:val="0"/>
        <w:pageBreakBefore w:val="0"/>
        <w:kinsoku/>
        <w:wordWrap/>
        <w:overflowPunct/>
        <w:topLinePunct w:val="0"/>
        <w:autoSpaceDE/>
        <w:autoSpaceDN/>
        <w:bidi w:val="0"/>
        <w:adjustRightInd/>
        <w:spacing w:line="500" w:lineRule="exact"/>
        <w:rPr>
          <w:rFonts w:hint="eastAsia"/>
        </w:rPr>
      </w:pPr>
    </w:p>
    <w:p>
      <w:pPr>
        <w:pStyle w:val="2"/>
        <w:numPr>
          <w:ilvl w:val="0"/>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Chars="1300"/>
        <w:jc w:val="center"/>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铅山县卫生健康委员会</w:t>
      </w:r>
    </w:p>
    <w:p>
      <w:pPr>
        <w:keepNext w:val="0"/>
        <w:keepLines w:val="0"/>
        <w:pageBreakBefore w:val="0"/>
        <w:kinsoku/>
        <w:wordWrap/>
        <w:overflowPunct/>
        <w:topLinePunct w:val="0"/>
        <w:autoSpaceDE/>
        <w:autoSpaceDN/>
        <w:bidi w:val="0"/>
        <w:adjustRightInd/>
        <w:spacing w:line="500" w:lineRule="exact"/>
        <w:ind w:leftChars="1300"/>
        <w:jc w:val="center"/>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bookmarkStart w:id="0" w:name="_GoBack"/>
      <w:bookmarkEnd w:id="0"/>
      <w:r>
        <w:rPr>
          <w:rFonts w:hint="eastAsia" w:ascii="仿宋" w:hAnsi="仿宋" w:eastAsia="仿宋" w:cs="仿宋"/>
          <w:color w:val="auto"/>
          <w:sz w:val="32"/>
          <w:szCs w:val="32"/>
        </w:rPr>
        <w:t>日</w:t>
      </w: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wordWrap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附表一</w:t>
      </w:r>
    </w:p>
    <w:tbl>
      <w:tblPr>
        <w:tblStyle w:val="32"/>
        <w:tblpPr w:leftFromText="180" w:rightFromText="180" w:vertAnchor="text" w:horzAnchor="page" w:tblpXSpec="center" w:tblpY="495"/>
        <w:tblOverlap w:val="never"/>
        <w:tblW w:w="9420" w:type="dxa"/>
        <w:jc w:val="center"/>
        <w:tblLayout w:type="fixed"/>
        <w:tblCellMar>
          <w:top w:w="0" w:type="dxa"/>
          <w:left w:w="0" w:type="dxa"/>
          <w:bottom w:w="0" w:type="dxa"/>
          <w:right w:w="0" w:type="dxa"/>
        </w:tblCellMar>
      </w:tblPr>
      <w:tblGrid>
        <w:gridCol w:w="854"/>
        <w:gridCol w:w="854"/>
        <w:gridCol w:w="510"/>
        <w:gridCol w:w="718"/>
        <w:gridCol w:w="1334"/>
        <w:gridCol w:w="854"/>
        <w:gridCol w:w="854"/>
        <w:gridCol w:w="854"/>
        <w:gridCol w:w="854"/>
        <w:gridCol w:w="854"/>
        <w:gridCol w:w="880"/>
      </w:tblGrid>
      <w:tr>
        <w:tblPrEx>
          <w:tblCellMar>
            <w:top w:w="0" w:type="dxa"/>
            <w:left w:w="0" w:type="dxa"/>
            <w:bottom w:w="0" w:type="dxa"/>
            <w:right w:w="0" w:type="dxa"/>
          </w:tblCellMar>
        </w:tblPrEx>
        <w:trPr>
          <w:trHeight w:val="375" w:hRule="atLeast"/>
          <w:jc w:val="center"/>
        </w:trPr>
        <w:tc>
          <w:tcPr>
            <w:tcW w:w="9420" w:type="dxa"/>
            <w:gridSpan w:val="11"/>
            <w:tcBorders>
              <w:top w:val="nil"/>
              <w:left w:val="nil"/>
              <w:bottom w:val="single" w:color="000000" w:sz="4" w:space="0"/>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医疗设备参询品种报价表                                               </w:t>
            </w:r>
          </w:p>
        </w:tc>
      </w:tr>
      <w:tr>
        <w:tblPrEx>
          <w:tblCellMar>
            <w:top w:w="0" w:type="dxa"/>
            <w:left w:w="0" w:type="dxa"/>
            <w:bottom w:w="0" w:type="dxa"/>
            <w:right w:w="0" w:type="dxa"/>
          </w:tblCellMar>
        </w:tblPrEx>
        <w:trPr>
          <w:trHeight w:val="1478"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参询序号</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产品注册证名称</w:t>
            </w: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产品注册证号</w:t>
            </w: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生产厂家</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规格型号</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江西省限价（万元）</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报单价   （万元）</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数量</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合计（万元）</w:t>
            </w: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参询单位</w:t>
            </w:r>
          </w:p>
        </w:tc>
      </w:tr>
      <w:tr>
        <w:tblPrEx>
          <w:tblCellMar>
            <w:top w:w="0" w:type="dxa"/>
            <w:left w:w="0" w:type="dxa"/>
            <w:bottom w:w="0" w:type="dxa"/>
            <w:right w:w="0" w:type="dxa"/>
          </w:tblCellMar>
        </w:tblPrEx>
        <w:trPr>
          <w:trHeight w:val="382"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12"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主要部件（易损件）</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740" w:hRule="atLeast"/>
          <w:jc w:val="center"/>
        </w:trPr>
        <w:tc>
          <w:tcPr>
            <w:tcW w:w="9420" w:type="dxa"/>
            <w:gridSpan w:val="11"/>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注：①、参询单位有不同品牌、不同规格品种参询，需分别报价；②、设备主要部件（易损件），需同时报价。</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参询单位：（盖章）</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法定代表人或授权代表：（签字）</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日  期：</w:t>
            </w:r>
          </w:p>
        </w:tc>
      </w:tr>
    </w:tbl>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rPr>
          <w:rFonts w:hint="eastAsia" w:ascii="宋体" w:hAnsi="宋体" w:eastAsia="宋体" w:cs="宋体"/>
          <w:sz w:val="32"/>
          <w:szCs w:val="32"/>
        </w:rPr>
      </w:pPr>
    </w:p>
    <w:p>
      <w:pPr>
        <w:pStyle w:val="10"/>
        <w:rPr>
          <w:rFonts w:hint="eastAsia" w:ascii="宋体" w:hAnsi="宋体" w:eastAsia="宋体" w:cs="宋体"/>
          <w:sz w:val="32"/>
          <w:szCs w:val="32"/>
        </w:rPr>
      </w:pPr>
    </w:p>
    <w:p>
      <w:pPr>
        <w:rPr>
          <w:rFonts w:hint="eastAsia" w:ascii="宋体" w:hAnsi="宋体" w:eastAsia="宋体" w:cs="宋体"/>
          <w:sz w:val="32"/>
          <w:szCs w:val="32"/>
        </w:rPr>
      </w:pPr>
    </w:p>
    <w:p>
      <w:pPr>
        <w:pStyle w:val="10"/>
        <w:rPr>
          <w:rFonts w:hint="eastAsia"/>
        </w:rPr>
      </w:pPr>
    </w:p>
    <w:p>
      <w:pPr>
        <w:rPr>
          <w:rFonts w:hint="eastAsia" w:ascii="宋体" w:hAnsi="宋体" w:eastAsia="宋体" w:cs="宋体"/>
          <w:sz w:val="32"/>
          <w:szCs w:val="32"/>
        </w:rPr>
      </w:pPr>
    </w:p>
    <w:p>
      <w:pPr>
        <w:tabs>
          <w:tab w:val="left" w:pos="1191"/>
        </w:tabs>
        <w:wordWrap w:val="0"/>
        <w:spacing w:line="500" w:lineRule="exact"/>
        <w:jc w:val="left"/>
        <w:rPr>
          <w:rFonts w:hint="eastAsia" w:ascii="宋体" w:hAnsi="宋体" w:eastAsia="宋体" w:cs="宋体"/>
          <w:sz w:val="24"/>
          <w:szCs w:val="24"/>
        </w:rPr>
      </w:pPr>
    </w:p>
    <w:p>
      <w:pPr>
        <w:tabs>
          <w:tab w:val="left" w:pos="1191"/>
        </w:tabs>
        <w:wordWrap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附表二</w:t>
      </w:r>
    </w:p>
    <w:tbl>
      <w:tblPr>
        <w:tblStyle w:val="32"/>
        <w:tblpPr w:leftFromText="180" w:rightFromText="180" w:vertAnchor="text" w:horzAnchor="page" w:tblpXSpec="center" w:tblpY="355"/>
        <w:tblOverlap w:val="never"/>
        <w:tblW w:w="9480" w:type="dxa"/>
        <w:jc w:val="center"/>
        <w:tblLayout w:type="fixed"/>
        <w:tblCellMar>
          <w:top w:w="0" w:type="dxa"/>
          <w:left w:w="0" w:type="dxa"/>
          <w:bottom w:w="0" w:type="dxa"/>
          <w:right w:w="0" w:type="dxa"/>
        </w:tblCellMar>
      </w:tblPr>
      <w:tblGrid>
        <w:gridCol w:w="418"/>
        <w:gridCol w:w="1382"/>
        <w:gridCol w:w="1026"/>
        <w:gridCol w:w="927"/>
        <w:gridCol w:w="1185"/>
        <w:gridCol w:w="1125"/>
        <w:gridCol w:w="1398"/>
        <w:gridCol w:w="2019"/>
      </w:tblGrid>
      <w:tr>
        <w:tblPrEx>
          <w:tblCellMar>
            <w:top w:w="0" w:type="dxa"/>
            <w:left w:w="0" w:type="dxa"/>
            <w:bottom w:w="0" w:type="dxa"/>
            <w:right w:w="0" w:type="dxa"/>
          </w:tblCellMar>
        </w:tblPrEx>
        <w:trPr>
          <w:trHeight w:val="90" w:hRule="atLeast"/>
          <w:jc w:val="center"/>
        </w:trPr>
        <w:tc>
          <w:tcPr>
            <w:tcW w:w="9480" w:type="dxa"/>
            <w:gridSpan w:val="8"/>
            <w:tcBorders>
              <w:top w:val="nil"/>
              <w:left w:val="nil"/>
              <w:bottom w:val="single" w:color="000000" w:sz="4" w:space="0"/>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医疗设备参询产品详细配置清单                                               </w:t>
            </w:r>
          </w:p>
        </w:tc>
      </w:tr>
      <w:tr>
        <w:tblPrEx>
          <w:tblCellMar>
            <w:top w:w="0" w:type="dxa"/>
            <w:left w:w="0" w:type="dxa"/>
            <w:bottom w:w="0" w:type="dxa"/>
            <w:right w:w="0" w:type="dxa"/>
          </w:tblCellMar>
        </w:tblPrEx>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参询序号</w:t>
            </w: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产品注册证名称</w:t>
            </w: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产品注册证号</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生产厂家</w:t>
            </w: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规格型号</w:t>
            </w: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参询单位</w:t>
            </w: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配置清单</w:t>
            </w:r>
          </w:p>
        </w:tc>
      </w:tr>
      <w:tr>
        <w:tblPrEx>
          <w:tblCellMar>
            <w:top w:w="0" w:type="dxa"/>
            <w:left w:w="0" w:type="dxa"/>
            <w:bottom w:w="0" w:type="dxa"/>
            <w:right w:w="0" w:type="dxa"/>
          </w:tblCellMar>
        </w:tblPrEx>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90" w:hRule="atLeast"/>
          <w:jc w:val="center"/>
        </w:trPr>
        <w:tc>
          <w:tcPr>
            <w:tcW w:w="9480" w:type="dxa"/>
            <w:gridSpan w:val="8"/>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注：参询单位有不同品牌、不同规格品种参询，需单列，例：参询序号1-1，依次类推1-2、1-3…</w:t>
            </w:r>
          </w:p>
        </w:tc>
      </w:tr>
      <w:tr>
        <w:tblPrEx>
          <w:tblCellMar>
            <w:top w:w="0" w:type="dxa"/>
            <w:left w:w="0" w:type="dxa"/>
            <w:bottom w:w="0" w:type="dxa"/>
            <w:right w:w="0" w:type="dxa"/>
          </w:tblCellMar>
        </w:tblPrEx>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680" w:type="dxa"/>
            <w:gridSpan w:val="6"/>
            <w:tcBorders>
              <w:top w:val="nil"/>
              <w:left w:val="nil"/>
              <w:bottom w:val="nil"/>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   参询单位：（盖章）</w:t>
            </w:r>
          </w:p>
        </w:tc>
      </w:tr>
      <w:tr>
        <w:tblPrEx>
          <w:tblCellMar>
            <w:top w:w="0" w:type="dxa"/>
            <w:left w:w="0" w:type="dxa"/>
            <w:bottom w:w="0" w:type="dxa"/>
            <w:right w:w="0" w:type="dxa"/>
          </w:tblCellMar>
        </w:tblPrEx>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026"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927"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1185"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4542" w:type="dxa"/>
            <w:gridSpan w:val="3"/>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法定代表人或授权代表：（签字）</w:t>
            </w:r>
          </w:p>
        </w:tc>
      </w:tr>
      <w:tr>
        <w:tblPrEx>
          <w:tblCellMar>
            <w:top w:w="0" w:type="dxa"/>
            <w:left w:w="0" w:type="dxa"/>
            <w:bottom w:w="0" w:type="dxa"/>
            <w:right w:w="0" w:type="dxa"/>
          </w:tblCellMar>
        </w:tblPrEx>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026"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日   期：</w:t>
            </w:r>
          </w:p>
        </w:tc>
        <w:tc>
          <w:tcPr>
            <w:tcW w:w="139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2019"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bl>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p>
      <w:pPr>
        <w:rPr>
          <w:rFonts w:hint="eastAsia"/>
        </w:rPr>
      </w:pPr>
    </w:p>
    <w:p>
      <w:pPr>
        <w:pStyle w:val="10"/>
        <w:rPr>
          <w:rFonts w:hint="eastAsia" w:ascii="宋体" w:hAnsi="宋体" w:eastAsia="宋体" w:cs="宋体"/>
          <w:sz w:val="32"/>
          <w:szCs w:val="32"/>
        </w:rPr>
      </w:pPr>
    </w:p>
    <w:p>
      <w:pPr>
        <w:pStyle w:val="10"/>
        <w:rPr>
          <w:rFonts w:hint="eastAsia" w:ascii="宋体" w:hAnsi="宋体" w:eastAsia="宋体" w:cs="宋体"/>
          <w:sz w:val="32"/>
          <w:szCs w:val="32"/>
        </w:rPr>
      </w:pPr>
    </w:p>
    <w:tbl>
      <w:tblPr>
        <w:tblStyle w:val="32"/>
        <w:tblpPr w:leftFromText="180" w:rightFromText="180" w:vertAnchor="text" w:horzAnchor="page" w:tblpXSpec="center" w:tblpY="773"/>
        <w:tblOverlap w:val="never"/>
        <w:tblW w:w="9880" w:type="dxa"/>
        <w:jc w:val="center"/>
        <w:tblLayout w:type="fixed"/>
        <w:tblCellMar>
          <w:top w:w="0" w:type="dxa"/>
          <w:left w:w="108" w:type="dxa"/>
          <w:bottom w:w="0" w:type="dxa"/>
          <w:right w:w="108" w:type="dxa"/>
        </w:tblCellMar>
      </w:tblPr>
      <w:tblGrid>
        <w:gridCol w:w="1393"/>
        <w:gridCol w:w="2056"/>
        <w:gridCol w:w="2310"/>
        <w:gridCol w:w="2718"/>
        <w:gridCol w:w="1403"/>
      </w:tblGrid>
      <w:tr>
        <w:tblPrEx>
          <w:tblCellMar>
            <w:top w:w="0" w:type="dxa"/>
            <w:left w:w="108" w:type="dxa"/>
            <w:bottom w:w="0" w:type="dxa"/>
            <w:right w:w="108" w:type="dxa"/>
          </w:tblCellMar>
        </w:tblPrEx>
        <w:trPr>
          <w:trHeight w:val="1043"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附表三：</w:t>
            </w:r>
          </w:p>
          <w:p>
            <w:pPr>
              <w:widowControl/>
              <w:jc w:val="center"/>
              <w:textAlignment w:val="center"/>
              <w:rPr>
                <w:rFonts w:hint="eastAsia" w:ascii="宋体" w:hAnsi="宋体" w:eastAsia="宋体" w:cs="宋体"/>
                <w:b/>
                <w:bCs/>
                <w:color w:val="000000"/>
                <w:sz w:val="28"/>
                <w:szCs w:val="28"/>
              </w:rPr>
            </w:pPr>
            <w:r>
              <w:rPr>
                <w:rFonts w:hint="eastAsia" w:ascii="宋体" w:hAnsi="宋体" w:eastAsia="宋体" w:cs="宋体"/>
                <w:b/>
                <w:bCs/>
                <w:color w:val="000000"/>
                <w:kern w:val="0"/>
                <w:sz w:val="28"/>
                <w:szCs w:val="28"/>
                <w:lang w:bidi="ar"/>
              </w:rPr>
              <w:t>医疗设备询价产品参数响应表</w:t>
            </w:r>
          </w:p>
        </w:tc>
      </w:tr>
      <w:tr>
        <w:tblPrEx>
          <w:tblCellMar>
            <w:top w:w="0" w:type="dxa"/>
            <w:left w:w="108" w:type="dxa"/>
            <w:bottom w:w="0" w:type="dxa"/>
            <w:right w:w="108" w:type="dxa"/>
          </w:tblCellMar>
        </w:tblPrEx>
        <w:trPr>
          <w:trHeight w:val="590"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 xml:space="preserve">询价序号：                    设备名称： </w:t>
            </w:r>
          </w:p>
        </w:tc>
      </w:tr>
      <w:tr>
        <w:tblPrEx>
          <w:tblCellMar>
            <w:top w:w="0" w:type="dxa"/>
            <w:left w:w="108" w:type="dxa"/>
            <w:bottom w:w="0" w:type="dxa"/>
            <w:right w:w="108" w:type="dxa"/>
          </w:tblCellMar>
        </w:tblPrEx>
        <w:trPr>
          <w:trHeight w:val="715"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询价参数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参询参数</w:t>
            </w: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响应情况（响应/偏离）</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说明</w:t>
            </w: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1064" w:hRule="atLeast"/>
          <w:jc w:val="center"/>
        </w:trPr>
        <w:tc>
          <w:tcPr>
            <w:tcW w:w="9880" w:type="dxa"/>
            <w:gridSpan w:val="5"/>
            <w:tcBorders>
              <w:top w:val="single" w:color="000000" w:sz="4" w:space="0"/>
              <w:left w:val="nil"/>
              <w:bottom w:val="nil"/>
              <w:right w:val="nil"/>
            </w:tcBorders>
            <w:noWrap w:val="0"/>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注：①询价序号及设备名称为询价文件项目内容中的询价序号及相对应的设备名称；②响应情况：参询参数与对应的询价参数响应及正偏离即为“响应”；参询参数与询价参数不符合即为“偏离”。</w:t>
            </w:r>
          </w:p>
        </w:tc>
      </w:tr>
    </w:tbl>
    <w:p/>
    <w:p>
      <w:pPr>
        <w:pStyle w:val="10"/>
      </w:pPr>
    </w:p>
    <w:p/>
    <w:p/>
    <w:p>
      <w:pPr>
        <w:pStyle w:val="10"/>
      </w:pPr>
    </w:p>
    <w:p/>
    <w:p>
      <w:pPr>
        <w:pStyle w:val="10"/>
      </w:pPr>
    </w:p>
    <w:p/>
    <w:p>
      <w:pPr>
        <w:pStyle w:val="10"/>
      </w:pPr>
    </w:p>
    <w:p/>
    <w:p>
      <w:pPr>
        <w:pStyle w:val="10"/>
      </w:pPr>
    </w:p>
    <w:p/>
    <w:p>
      <w:pPr>
        <w:pStyle w:val="10"/>
      </w:pPr>
    </w:p>
    <w:p/>
    <w:p>
      <w:pPr>
        <w:pStyle w:val="10"/>
      </w:pPr>
    </w:p>
    <w:p/>
    <w:p>
      <w:pPr>
        <w:pStyle w:val="10"/>
      </w:pPr>
    </w:p>
    <w:p/>
    <w:p>
      <w:pPr>
        <w:pStyle w:val="10"/>
        <w:rPr>
          <w:rFonts w:hint="eastAsia" w:eastAsia="等线"/>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ISOCP">
    <w:altName w:val="Courier New"/>
    <w:panose1 w:val="00000400000000000000"/>
    <w:charset w:val="00"/>
    <w:family w:val="auto"/>
    <w:pitch w:val="default"/>
    <w:sig w:usb0="00000000" w:usb1="00000000" w:usb2="00000040" w:usb3="00000000" w:csb0="0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7459D"/>
    <w:multiLevelType w:val="singleLevel"/>
    <w:tmpl w:val="8B77459D"/>
    <w:lvl w:ilvl="0" w:tentative="0">
      <w:start w:val="1"/>
      <w:numFmt w:val="decimal"/>
      <w:pStyle w:val="2"/>
      <w:lvlText w:val="%1."/>
      <w:lvlJc w:val="left"/>
      <w:pPr>
        <w:tabs>
          <w:tab w:val="left" w:pos="360"/>
        </w:tabs>
        <w:ind w:left="360" w:hanging="360"/>
      </w:pPr>
    </w:lvl>
  </w:abstractNum>
  <w:abstractNum w:abstractNumId="1">
    <w:nsid w:val="AA880A96"/>
    <w:multiLevelType w:val="singleLevel"/>
    <w:tmpl w:val="AA880A96"/>
    <w:lvl w:ilvl="0" w:tentative="0">
      <w:start w:val="1"/>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lvlText w:val="%1"/>
      <w:lvlJc w:val="left"/>
      <w:pPr>
        <w:tabs>
          <w:tab w:val="left" w:pos="432"/>
        </w:tabs>
        <w:ind w:left="432" w:hanging="432"/>
      </w:pPr>
      <w:rPr>
        <w:rFonts w:ascii="黑体" w:hAnsi="黑体" w:eastAsia="黑体"/>
        <w:b/>
        <w:sz w:val="32"/>
        <w:szCs w:val="32"/>
      </w:rPr>
    </w:lvl>
    <w:lvl w:ilvl="1" w:tentative="0">
      <w:start w:val="1"/>
      <w:numFmt w:val="decimal"/>
      <w:lvlText w:val="%1.%2"/>
      <w:lvlJc w:val="left"/>
      <w:pPr>
        <w:tabs>
          <w:tab w:val="left" w:pos="576"/>
        </w:tabs>
        <w:ind w:left="576" w:hanging="576"/>
      </w:pPr>
      <w:rPr>
        <w:rFonts w:ascii="黑体" w:hAnsi="黑体" w:eastAsia="黑体"/>
        <w:b/>
      </w:rPr>
    </w:lvl>
    <w:lvl w:ilvl="2" w:tentative="0">
      <w:start w:val="1"/>
      <w:numFmt w:val="decimal"/>
      <w:pStyle w:val="5"/>
      <w:lvlText w:val="%1.%2.%3"/>
      <w:lvlJc w:val="left"/>
      <w:pPr>
        <w:tabs>
          <w:tab w:val="left" w:pos="720"/>
        </w:tabs>
        <w:ind w:left="720" w:hanging="720"/>
      </w:pPr>
    </w:lvl>
    <w:lvl w:ilvl="3" w:tentative="0">
      <w:start w:val="1"/>
      <w:numFmt w:val="decimal"/>
      <w:lvlText w:val="%1.%2.%3.%4"/>
      <w:lvlJc w:val="left"/>
      <w:pPr>
        <w:tabs>
          <w:tab w:val="left" w:pos="864"/>
        </w:tabs>
        <w:ind w:left="864" w:hanging="864"/>
      </w:pPr>
      <w:rPr>
        <w:rFonts w:ascii="宋体" w:hAnsi="宋体" w:eastAsia="宋体"/>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TNlZTJmYjBiMjI0NTg2NDNiYzlmYzM4NjVjODYifQ=="/>
  </w:docVars>
  <w:rsids>
    <w:rsidRoot w:val="6BCA2F13"/>
    <w:rsid w:val="002E2D5C"/>
    <w:rsid w:val="00496AF9"/>
    <w:rsid w:val="0093400F"/>
    <w:rsid w:val="00A55DD8"/>
    <w:rsid w:val="00B63E2A"/>
    <w:rsid w:val="00C61649"/>
    <w:rsid w:val="00CF1965"/>
    <w:rsid w:val="0110545F"/>
    <w:rsid w:val="01380876"/>
    <w:rsid w:val="015034B7"/>
    <w:rsid w:val="015B7090"/>
    <w:rsid w:val="019F73D9"/>
    <w:rsid w:val="01B42D52"/>
    <w:rsid w:val="01D97347"/>
    <w:rsid w:val="01DE3214"/>
    <w:rsid w:val="02001FD2"/>
    <w:rsid w:val="02007955"/>
    <w:rsid w:val="020101A6"/>
    <w:rsid w:val="023B7BA8"/>
    <w:rsid w:val="025417F8"/>
    <w:rsid w:val="02EA44F2"/>
    <w:rsid w:val="039903E3"/>
    <w:rsid w:val="04BB35F6"/>
    <w:rsid w:val="04D25A58"/>
    <w:rsid w:val="04E9146E"/>
    <w:rsid w:val="04FA3997"/>
    <w:rsid w:val="05D32042"/>
    <w:rsid w:val="062A1F3A"/>
    <w:rsid w:val="06AE751A"/>
    <w:rsid w:val="06CD2E80"/>
    <w:rsid w:val="06D204B9"/>
    <w:rsid w:val="06D70AC0"/>
    <w:rsid w:val="070E3DE6"/>
    <w:rsid w:val="073E66C8"/>
    <w:rsid w:val="07754F6F"/>
    <w:rsid w:val="077A2466"/>
    <w:rsid w:val="0783239A"/>
    <w:rsid w:val="07A5416A"/>
    <w:rsid w:val="07AA637F"/>
    <w:rsid w:val="07C264D9"/>
    <w:rsid w:val="08356AB4"/>
    <w:rsid w:val="08671B93"/>
    <w:rsid w:val="086D3DD4"/>
    <w:rsid w:val="087929B7"/>
    <w:rsid w:val="091F10EE"/>
    <w:rsid w:val="09833702"/>
    <w:rsid w:val="09AC1654"/>
    <w:rsid w:val="0A4C7C0A"/>
    <w:rsid w:val="0AE9741E"/>
    <w:rsid w:val="0B840F21"/>
    <w:rsid w:val="0BA723B1"/>
    <w:rsid w:val="0BF164F2"/>
    <w:rsid w:val="0BF172B9"/>
    <w:rsid w:val="0BFF594E"/>
    <w:rsid w:val="0C1E167F"/>
    <w:rsid w:val="0C3165DC"/>
    <w:rsid w:val="0C393106"/>
    <w:rsid w:val="0C536DDB"/>
    <w:rsid w:val="0C5C745B"/>
    <w:rsid w:val="0C701E8E"/>
    <w:rsid w:val="0CB25212"/>
    <w:rsid w:val="0CF72B3C"/>
    <w:rsid w:val="0D1878B6"/>
    <w:rsid w:val="0D5D55E5"/>
    <w:rsid w:val="0D812EB1"/>
    <w:rsid w:val="0DD07FFC"/>
    <w:rsid w:val="0DD25BC1"/>
    <w:rsid w:val="0E0039C5"/>
    <w:rsid w:val="0E4F1AEC"/>
    <w:rsid w:val="0E6457A8"/>
    <w:rsid w:val="0E8E60A9"/>
    <w:rsid w:val="0EE959CE"/>
    <w:rsid w:val="0F5230FE"/>
    <w:rsid w:val="0FC35AF5"/>
    <w:rsid w:val="10531E53"/>
    <w:rsid w:val="105F28F5"/>
    <w:rsid w:val="107D2F03"/>
    <w:rsid w:val="10B171E3"/>
    <w:rsid w:val="110B7458"/>
    <w:rsid w:val="11C36EF8"/>
    <w:rsid w:val="11F018D5"/>
    <w:rsid w:val="120F28C2"/>
    <w:rsid w:val="12235CEF"/>
    <w:rsid w:val="125E5763"/>
    <w:rsid w:val="126B3DE1"/>
    <w:rsid w:val="12944716"/>
    <w:rsid w:val="129C7463"/>
    <w:rsid w:val="134F48A6"/>
    <w:rsid w:val="13AA38F1"/>
    <w:rsid w:val="13F2111A"/>
    <w:rsid w:val="14BD6722"/>
    <w:rsid w:val="15077253"/>
    <w:rsid w:val="153E06BC"/>
    <w:rsid w:val="155C23AC"/>
    <w:rsid w:val="15646FEF"/>
    <w:rsid w:val="157F4FCD"/>
    <w:rsid w:val="15C216CB"/>
    <w:rsid w:val="15F075E1"/>
    <w:rsid w:val="166015A8"/>
    <w:rsid w:val="16625356"/>
    <w:rsid w:val="166D191B"/>
    <w:rsid w:val="16A97539"/>
    <w:rsid w:val="16BA78BB"/>
    <w:rsid w:val="16D8593D"/>
    <w:rsid w:val="16EE7BD2"/>
    <w:rsid w:val="173B5FCE"/>
    <w:rsid w:val="17AA5A62"/>
    <w:rsid w:val="17D6769F"/>
    <w:rsid w:val="17DD64D9"/>
    <w:rsid w:val="182165B2"/>
    <w:rsid w:val="1837571A"/>
    <w:rsid w:val="186A7CBA"/>
    <w:rsid w:val="188D54DA"/>
    <w:rsid w:val="18EB7850"/>
    <w:rsid w:val="190136F9"/>
    <w:rsid w:val="19067E31"/>
    <w:rsid w:val="192A76A5"/>
    <w:rsid w:val="19425539"/>
    <w:rsid w:val="19500CB7"/>
    <w:rsid w:val="195A7E0C"/>
    <w:rsid w:val="19EB0917"/>
    <w:rsid w:val="1A2473AD"/>
    <w:rsid w:val="1A41375B"/>
    <w:rsid w:val="1A9F63C6"/>
    <w:rsid w:val="1B097493"/>
    <w:rsid w:val="1B7265E8"/>
    <w:rsid w:val="1BB04625"/>
    <w:rsid w:val="1D0436BA"/>
    <w:rsid w:val="1D5D73EE"/>
    <w:rsid w:val="1D7A5BC6"/>
    <w:rsid w:val="1DB66580"/>
    <w:rsid w:val="1ED53FE7"/>
    <w:rsid w:val="1F083D34"/>
    <w:rsid w:val="1F246808"/>
    <w:rsid w:val="1F4C71F6"/>
    <w:rsid w:val="1FFB2F38"/>
    <w:rsid w:val="20BE774D"/>
    <w:rsid w:val="20D12564"/>
    <w:rsid w:val="212331B5"/>
    <w:rsid w:val="212475EA"/>
    <w:rsid w:val="219F5D53"/>
    <w:rsid w:val="21A43733"/>
    <w:rsid w:val="21D34272"/>
    <w:rsid w:val="21F72626"/>
    <w:rsid w:val="2220538D"/>
    <w:rsid w:val="225E0231"/>
    <w:rsid w:val="22AC524A"/>
    <w:rsid w:val="22B81625"/>
    <w:rsid w:val="22E0749A"/>
    <w:rsid w:val="2362208D"/>
    <w:rsid w:val="237C064B"/>
    <w:rsid w:val="23913EC7"/>
    <w:rsid w:val="23D80A10"/>
    <w:rsid w:val="240015E2"/>
    <w:rsid w:val="2442203D"/>
    <w:rsid w:val="24426899"/>
    <w:rsid w:val="246F01D3"/>
    <w:rsid w:val="248B71C9"/>
    <w:rsid w:val="24D1246C"/>
    <w:rsid w:val="251817CA"/>
    <w:rsid w:val="251B6F6F"/>
    <w:rsid w:val="25A75628"/>
    <w:rsid w:val="25C14996"/>
    <w:rsid w:val="25F83043"/>
    <w:rsid w:val="26047C87"/>
    <w:rsid w:val="263A7080"/>
    <w:rsid w:val="26792D15"/>
    <w:rsid w:val="26932AE7"/>
    <w:rsid w:val="27394CE0"/>
    <w:rsid w:val="285A25A6"/>
    <w:rsid w:val="285C0942"/>
    <w:rsid w:val="28A418D4"/>
    <w:rsid w:val="28EE411D"/>
    <w:rsid w:val="29596333"/>
    <w:rsid w:val="295D266E"/>
    <w:rsid w:val="297A2105"/>
    <w:rsid w:val="29963FC6"/>
    <w:rsid w:val="29DD4A2F"/>
    <w:rsid w:val="29EF4381"/>
    <w:rsid w:val="2A740F16"/>
    <w:rsid w:val="2A9C1231"/>
    <w:rsid w:val="2AB10135"/>
    <w:rsid w:val="2AD712CB"/>
    <w:rsid w:val="2B152C67"/>
    <w:rsid w:val="2B7144F7"/>
    <w:rsid w:val="2C0E5CB1"/>
    <w:rsid w:val="2C543BC1"/>
    <w:rsid w:val="2C922D91"/>
    <w:rsid w:val="2CDD12D5"/>
    <w:rsid w:val="2D105A0D"/>
    <w:rsid w:val="2D4E34EF"/>
    <w:rsid w:val="2E263E91"/>
    <w:rsid w:val="2E2B6BDF"/>
    <w:rsid w:val="2E3D0F10"/>
    <w:rsid w:val="2E5D6AAC"/>
    <w:rsid w:val="2E770638"/>
    <w:rsid w:val="2E952EDB"/>
    <w:rsid w:val="2E976DAE"/>
    <w:rsid w:val="2F603E4C"/>
    <w:rsid w:val="2F9A453C"/>
    <w:rsid w:val="2FCF4AA2"/>
    <w:rsid w:val="2FD72A11"/>
    <w:rsid w:val="2FF9238E"/>
    <w:rsid w:val="2FFA2E4E"/>
    <w:rsid w:val="30101669"/>
    <w:rsid w:val="30191BD4"/>
    <w:rsid w:val="305751D1"/>
    <w:rsid w:val="305B48CB"/>
    <w:rsid w:val="307B2293"/>
    <w:rsid w:val="3081063C"/>
    <w:rsid w:val="30BB1B88"/>
    <w:rsid w:val="30BD664C"/>
    <w:rsid w:val="311F61B2"/>
    <w:rsid w:val="318D6946"/>
    <w:rsid w:val="31DA78C4"/>
    <w:rsid w:val="31DB52D5"/>
    <w:rsid w:val="31F1686C"/>
    <w:rsid w:val="31F50666"/>
    <w:rsid w:val="32514A9D"/>
    <w:rsid w:val="32AF72C4"/>
    <w:rsid w:val="32CA70BD"/>
    <w:rsid w:val="331A2D87"/>
    <w:rsid w:val="331C681F"/>
    <w:rsid w:val="33332E1D"/>
    <w:rsid w:val="33CD5E32"/>
    <w:rsid w:val="34386A9F"/>
    <w:rsid w:val="344C78C2"/>
    <w:rsid w:val="346A6C57"/>
    <w:rsid w:val="346C4949"/>
    <w:rsid w:val="35183034"/>
    <w:rsid w:val="358A588F"/>
    <w:rsid w:val="35B07928"/>
    <w:rsid w:val="35C22A56"/>
    <w:rsid w:val="35E42E1C"/>
    <w:rsid w:val="36311867"/>
    <w:rsid w:val="36457B61"/>
    <w:rsid w:val="364D2448"/>
    <w:rsid w:val="3651241B"/>
    <w:rsid w:val="36A94E95"/>
    <w:rsid w:val="36B0389F"/>
    <w:rsid w:val="36B560E1"/>
    <w:rsid w:val="3726099F"/>
    <w:rsid w:val="37484B3A"/>
    <w:rsid w:val="374B0AB9"/>
    <w:rsid w:val="375600A8"/>
    <w:rsid w:val="377B4FED"/>
    <w:rsid w:val="37E52080"/>
    <w:rsid w:val="37EA50F5"/>
    <w:rsid w:val="381A2B58"/>
    <w:rsid w:val="383571B6"/>
    <w:rsid w:val="38580A74"/>
    <w:rsid w:val="38676491"/>
    <w:rsid w:val="387402BC"/>
    <w:rsid w:val="3879407C"/>
    <w:rsid w:val="388D52EE"/>
    <w:rsid w:val="38940D6C"/>
    <w:rsid w:val="38B40042"/>
    <w:rsid w:val="38D11AE7"/>
    <w:rsid w:val="39114FEF"/>
    <w:rsid w:val="396214DC"/>
    <w:rsid w:val="39810641"/>
    <w:rsid w:val="3A087614"/>
    <w:rsid w:val="3A3277FD"/>
    <w:rsid w:val="3A684F3F"/>
    <w:rsid w:val="3A9538C1"/>
    <w:rsid w:val="3AAD574A"/>
    <w:rsid w:val="3AB96D5E"/>
    <w:rsid w:val="3AD17889"/>
    <w:rsid w:val="3AF12CD6"/>
    <w:rsid w:val="3B3D7919"/>
    <w:rsid w:val="3BB920DE"/>
    <w:rsid w:val="3BED245D"/>
    <w:rsid w:val="3C215954"/>
    <w:rsid w:val="3C7267DF"/>
    <w:rsid w:val="3CA73F40"/>
    <w:rsid w:val="3CB46DD2"/>
    <w:rsid w:val="3D0E48DC"/>
    <w:rsid w:val="3D2C7D91"/>
    <w:rsid w:val="3D6C764C"/>
    <w:rsid w:val="3D9F0E2E"/>
    <w:rsid w:val="3DA60DBB"/>
    <w:rsid w:val="3E7A3037"/>
    <w:rsid w:val="3ECD6C03"/>
    <w:rsid w:val="3F3011C3"/>
    <w:rsid w:val="3FBC1B7B"/>
    <w:rsid w:val="3FD169E0"/>
    <w:rsid w:val="3FEC1E9A"/>
    <w:rsid w:val="3FF531FB"/>
    <w:rsid w:val="405D5FBF"/>
    <w:rsid w:val="407227F4"/>
    <w:rsid w:val="40786342"/>
    <w:rsid w:val="40986807"/>
    <w:rsid w:val="40BA1D38"/>
    <w:rsid w:val="414421E9"/>
    <w:rsid w:val="41452CD2"/>
    <w:rsid w:val="41541829"/>
    <w:rsid w:val="419514CB"/>
    <w:rsid w:val="41D40C4C"/>
    <w:rsid w:val="42313EDD"/>
    <w:rsid w:val="42554547"/>
    <w:rsid w:val="42557408"/>
    <w:rsid w:val="429322AD"/>
    <w:rsid w:val="42BA0EC2"/>
    <w:rsid w:val="42D14190"/>
    <w:rsid w:val="43084752"/>
    <w:rsid w:val="431F6A66"/>
    <w:rsid w:val="433C3B16"/>
    <w:rsid w:val="439F167B"/>
    <w:rsid w:val="43CA00EB"/>
    <w:rsid w:val="43CE2BFD"/>
    <w:rsid w:val="445B09A4"/>
    <w:rsid w:val="44657D29"/>
    <w:rsid w:val="447B0F55"/>
    <w:rsid w:val="448C6E1B"/>
    <w:rsid w:val="44A247AB"/>
    <w:rsid w:val="44A55FA6"/>
    <w:rsid w:val="44D657E7"/>
    <w:rsid w:val="44ED5804"/>
    <w:rsid w:val="44F0471C"/>
    <w:rsid w:val="4583515F"/>
    <w:rsid w:val="459E1156"/>
    <w:rsid w:val="45B627C2"/>
    <w:rsid w:val="45E61491"/>
    <w:rsid w:val="4642139F"/>
    <w:rsid w:val="464927FC"/>
    <w:rsid w:val="46857B58"/>
    <w:rsid w:val="468B2B3E"/>
    <w:rsid w:val="46C70436"/>
    <w:rsid w:val="46DA7040"/>
    <w:rsid w:val="4711033B"/>
    <w:rsid w:val="47483AC8"/>
    <w:rsid w:val="47AC5F07"/>
    <w:rsid w:val="47B4171E"/>
    <w:rsid w:val="48102CEB"/>
    <w:rsid w:val="48335E6E"/>
    <w:rsid w:val="48824075"/>
    <w:rsid w:val="488B7C99"/>
    <w:rsid w:val="48DC7D35"/>
    <w:rsid w:val="48DE7B8F"/>
    <w:rsid w:val="491346E3"/>
    <w:rsid w:val="4949032F"/>
    <w:rsid w:val="496A126A"/>
    <w:rsid w:val="49BA2613"/>
    <w:rsid w:val="4A170718"/>
    <w:rsid w:val="4A3919A0"/>
    <w:rsid w:val="4A5A0F56"/>
    <w:rsid w:val="4A7F0628"/>
    <w:rsid w:val="4AEA6924"/>
    <w:rsid w:val="4B1E2379"/>
    <w:rsid w:val="4B8E22CC"/>
    <w:rsid w:val="4B8F589E"/>
    <w:rsid w:val="4BAF2722"/>
    <w:rsid w:val="4C06781A"/>
    <w:rsid w:val="4C6C046B"/>
    <w:rsid w:val="4CAD45CB"/>
    <w:rsid w:val="4CB444C5"/>
    <w:rsid w:val="4CC96B8E"/>
    <w:rsid w:val="4CCF1E11"/>
    <w:rsid w:val="4CE059ED"/>
    <w:rsid w:val="4CEE27D2"/>
    <w:rsid w:val="4DAD0C2C"/>
    <w:rsid w:val="4DCF45D3"/>
    <w:rsid w:val="4DEA3183"/>
    <w:rsid w:val="4DEC56AA"/>
    <w:rsid w:val="4DFE415E"/>
    <w:rsid w:val="4E617647"/>
    <w:rsid w:val="4EE45647"/>
    <w:rsid w:val="4FB120BD"/>
    <w:rsid w:val="4FF513BA"/>
    <w:rsid w:val="50236966"/>
    <w:rsid w:val="502B66F4"/>
    <w:rsid w:val="503A2639"/>
    <w:rsid w:val="507C78DD"/>
    <w:rsid w:val="50825B07"/>
    <w:rsid w:val="50C639F9"/>
    <w:rsid w:val="50D354D0"/>
    <w:rsid w:val="51497AC8"/>
    <w:rsid w:val="5159649A"/>
    <w:rsid w:val="51743257"/>
    <w:rsid w:val="51F4537E"/>
    <w:rsid w:val="521C25E5"/>
    <w:rsid w:val="52256D8A"/>
    <w:rsid w:val="524F1A1F"/>
    <w:rsid w:val="52C102AE"/>
    <w:rsid w:val="53934B03"/>
    <w:rsid w:val="539F25E4"/>
    <w:rsid w:val="53B20BE5"/>
    <w:rsid w:val="54140B65"/>
    <w:rsid w:val="54584C9A"/>
    <w:rsid w:val="545C1D72"/>
    <w:rsid w:val="54B97EB6"/>
    <w:rsid w:val="54C70900"/>
    <w:rsid w:val="552618CE"/>
    <w:rsid w:val="55343F6F"/>
    <w:rsid w:val="5542452A"/>
    <w:rsid w:val="555A707F"/>
    <w:rsid w:val="55D9608E"/>
    <w:rsid w:val="55F81357"/>
    <w:rsid w:val="563416F6"/>
    <w:rsid w:val="563618DC"/>
    <w:rsid w:val="56A95217"/>
    <w:rsid w:val="56AF00F1"/>
    <w:rsid w:val="56D60CF8"/>
    <w:rsid w:val="56E006AE"/>
    <w:rsid w:val="573A2F29"/>
    <w:rsid w:val="57492146"/>
    <w:rsid w:val="57567DC3"/>
    <w:rsid w:val="57811536"/>
    <w:rsid w:val="57887CDC"/>
    <w:rsid w:val="58792C23"/>
    <w:rsid w:val="5891040B"/>
    <w:rsid w:val="58BA05CB"/>
    <w:rsid w:val="59162CEB"/>
    <w:rsid w:val="5926576E"/>
    <w:rsid w:val="5A101CAF"/>
    <w:rsid w:val="5A122A59"/>
    <w:rsid w:val="5A1D7829"/>
    <w:rsid w:val="5A6519C6"/>
    <w:rsid w:val="5B7102B1"/>
    <w:rsid w:val="5B773B5B"/>
    <w:rsid w:val="5B816D2C"/>
    <w:rsid w:val="5B894386"/>
    <w:rsid w:val="5BBF74DC"/>
    <w:rsid w:val="5BF76525"/>
    <w:rsid w:val="5C16419F"/>
    <w:rsid w:val="5C435FAA"/>
    <w:rsid w:val="5C7D755E"/>
    <w:rsid w:val="5C8F58E1"/>
    <w:rsid w:val="5CC6739B"/>
    <w:rsid w:val="5CD6109C"/>
    <w:rsid w:val="5D2327E7"/>
    <w:rsid w:val="5D2A5459"/>
    <w:rsid w:val="5D5709B2"/>
    <w:rsid w:val="5E396E84"/>
    <w:rsid w:val="5E615F77"/>
    <w:rsid w:val="5ECD6AD3"/>
    <w:rsid w:val="5EE752EE"/>
    <w:rsid w:val="5F456F87"/>
    <w:rsid w:val="5F6214C7"/>
    <w:rsid w:val="5F82096A"/>
    <w:rsid w:val="5F8F42B4"/>
    <w:rsid w:val="5FAB0A84"/>
    <w:rsid w:val="5FFC5C66"/>
    <w:rsid w:val="60104F82"/>
    <w:rsid w:val="60333520"/>
    <w:rsid w:val="6149781E"/>
    <w:rsid w:val="614C69B2"/>
    <w:rsid w:val="61624667"/>
    <w:rsid w:val="61626B39"/>
    <w:rsid w:val="61864063"/>
    <w:rsid w:val="61A714D0"/>
    <w:rsid w:val="61E901E9"/>
    <w:rsid w:val="620C3F8B"/>
    <w:rsid w:val="627302E7"/>
    <w:rsid w:val="638C20EF"/>
    <w:rsid w:val="639D2CDE"/>
    <w:rsid w:val="63A95FF4"/>
    <w:rsid w:val="63C34CAB"/>
    <w:rsid w:val="63E678B4"/>
    <w:rsid w:val="64061FCD"/>
    <w:rsid w:val="643269E9"/>
    <w:rsid w:val="64576A50"/>
    <w:rsid w:val="645A584B"/>
    <w:rsid w:val="64886ACA"/>
    <w:rsid w:val="64906AD0"/>
    <w:rsid w:val="64EF14C6"/>
    <w:rsid w:val="651A7818"/>
    <w:rsid w:val="65744A4C"/>
    <w:rsid w:val="65F35418"/>
    <w:rsid w:val="662D3578"/>
    <w:rsid w:val="662F5049"/>
    <w:rsid w:val="66400951"/>
    <w:rsid w:val="66512A8E"/>
    <w:rsid w:val="667002BB"/>
    <w:rsid w:val="678E0984"/>
    <w:rsid w:val="67B62B09"/>
    <w:rsid w:val="6826346F"/>
    <w:rsid w:val="68431039"/>
    <w:rsid w:val="685A35EF"/>
    <w:rsid w:val="68CD2C48"/>
    <w:rsid w:val="68D74F7B"/>
    <w:rsid w:val="68F35085"/>
    <w:rsid w:val="69225964"/>
    <w:rsid w:val="692847FF"/>
    <w:rsid w:val="69367286"/>
    <w:rsid w:val="693F4846"/>
    <w:rsid w:val="6A3220A9"/>
    <w:rsid w:val="6A6B405D"/>
    <w:rsid w:val="6AA31EC0"/>
    <w:rsid w:val="6B1E38DF"/>
    <w:rsid w:val="6B2B4FBD"/>
    <w:rsid w:val="6B625561"/>
    <w:rsid w:val="6B8C7D01"/>
    <w:rsid w:val="6BCA2F13"/>
    <w:rsid w:val="6BDE00E6"/>
    <w:rsid w:val="6C3D00B3"/>
    <w:rsid w:val="6C723A68"/>
    <w:rsid w:val="6C846FA3"/>
    <w:rsid w:val="6C947E8F"/>
    <w:rsid w:val="6CA97381"/>
    <w:rsid w:val="6CAE2EDF"/>
    <w:rsid w:val="6CCB16FB"/>
    <w:rsid w:val="6D547098"/>
    <w:rsid w:val="6D5D70FC"/>
    <w:rsid w:val="6D946551"/>
    <w:rsid w:val="6DCE2626"/>
    <w:rsid w:val="6DFF3698"/>
    <w:rsid w:val="6E2176B5"/>
    <w:rsid w:val="6E711275"/>
    <w:rsid w:val="6E894F42"/>
    <w:rsid w:val="6EAD577E"/>
    <w:rsid w:val="6EC9130A"/>
    <w:rsid w:val="6EF975D0"/>
    <w:rsid w:val="6EFB5371"/>
    <w:rsid w:val="6EFF68EF"/>
    <w:rsid w:val="6F482616"/>
    <w:rsid w:val="6F4E6C57"/>
    <w:rsid w:val="6F7C06E2"/>
    <w:rsid w:val="6FA20F05"/>
    <w:rsid w:val="6FE37D95"/>
    <w:rsid w:val="6FEA4FB0"/>
    <w:rsid w:val="705662D4"/>
    <w:rsid w:val="707F5CB8"/>
    <w:rsid w:val="70A75C8C"/>
    <w:rsid w:val="70B51E9B"/>
    <w:rsid w:val="70F164FB"/>
    <w:rsid w:val="718B3ECD"/>
    <w:rsid w:val="719D0E28"/>
    <w:rsid w:val="71A95A60"/>
    <w:rsid w:val="71D00705"/>
    <w:rsid w:val="71F3226F"/>
    <w:rsid w:val="72305BC3"/>
    <w:rsid w:val="72765763"/>
    <w:rsid w:val="727E4E06"/>
    <w:rsid w:val="729D1146"/>
    <w:rsid w:val="72FC6CBB"/>
    <w:rsid w:val="7364412E"/>
    <w:rsid w:val="73763412"/>
    <w:rsid w:val="739854EF"/>
    <w:rsid w:val="73CC7B57"/>
    <w:rsid w:val="73EB20FA"/>
    <w:rsid w:val="73FF4862"/>
    <w:rsid w:val="746A4CB4"/>
    <w:rsid w:val="748D7331"/>
    <w:rsid w:val="74E2370B"/>
    <w:rsid w:val="74F31466"/>
    <w:rsid w:val="752A4F56"/>
    <w:rsid w:val="7534096B"/>
    <w:rsid w:val="757F78BB"/>
    <w:rsid w:val="75DC55B8"/>
    <w:rsid w:val="76116FB7"/>
    <w:rsid w:val="765B3222"/>
    <w:rsid w:val="766529FE"/>
    <w:rsid w:val="769A2CCA"/>
    <w:rsid w:val="76A23410"/>
    <w:rsid w:val="76D67AD5"/>
    <w:rsid w:val="76F77742"/>
    <w:rsid w:val="7724709F"/>
    <w:rsid w:val="772D5A8E"/>
    <w:rsid w:val="774B273B"/>
    <w:rsid w:val="783E13BE"/>
    <w:rsid w:val="78AC0126"/>
    <w:rsid w:val="797D1BBA"/>
    <w:rsid w:val="79A773E7"/>
    <w:rsid w:val="79B047A4"/>
    <w:rsid w:val="79C131FF"/>
    <w:rsid w:val="79EF0BF8"/>
    <w:rsid w:val="7A3F7E0E"/>
    <w:rsid w:val="7A45330D"/>
    <w:rsid w:val="7A554C8F"/>
    <w:rsid w:val="7A82037D"/>
    <w:rsid w:val="7A8B0945"/>
    <w:rsid w:val="7A985D7F"/>
    <w:rsid w:val="7AA20DD6"/>
    <w:rsid w:val="7ADD6930"/>
    <w:rsid w:val="7B947B97"/>
    <w:rsid w:val="7BE54D04"/>
    <w:rsid w:val="7C466CEA"/>
    <w:rsid w:val="7C4C1092"/>
    <w:rsid w:val="7C59266B"/>
    <w:rsid w:val="7CA60533"/>
    <w:rsid w:val="7CCB5154"/>
    <w:rsid w:val="7CDB4B36"/>
    <w:rsid w:val="7D376A3F"/>
    <w:rsid w:val="7D484DE4"/>
    <w:rsid w:val="7D4E65D8"/>
    <w:rsid w:val="7D9B1639"/>
    <w:rsid w:val="7D9C51CB"/>
    <w:rsid w:val="7E100776"/>
    <w:rsid w:val="7E192B6C"/>
    <w:rsid w:val="7E361BF9"/>
    <w:rsid w:val="7E520F18"/>
    <w:rsid w:val="7E6B42FD"/>
    <w:rsid w:val="7E715562"/>
    <w:rsid w:val="7E985D46"/>
    <w:rsid w:val="7E986E81"/>
    <w:rsid w:val="7EDB66D5"/>
    <w:rsid w:val="7EDF272B"/>
    <w:rsid w:val="7F5E4115"/>
    <w:rsid w:val="7F81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1"/>
    <w:qFormat/>
    <w:uiPriority w:val="0"/>
    <w:pPr>
      <w:widowControl w:val="0"/>
      <w:jc w:val="both"/>
    </w:pPr>
    <w:rPr>
      <w:rFonts w:ascii="等线" w:hAnsi="等线" w:eastAsia="等线" w:cs="等线"/>
      <w:kern w:val="2"/>
      <w:sz w:val="21"/>
      <w:szCs w:val="22"/>
      <w:lang w:val="en-US" w:eastAsia="zh-CN" w:bidi="ar-SA"/>
    </w:rPr>
  </w:style>
  <w:style w:type="paragraph" w:styleId="3">
    <w:name w:val="heading 1"/>
    <w:basedOn w:val="1"/>
    <w:next w:val="1"/>
    <w:link w:val="69"/>
    <w:qFormat/>
    <w:uiPriority w:val="0"/>
    <w:pPr>
      <w:keepNext/>
      <w:keepLines/>
      <w:spacing w:beforeLines="0" w:beforeAutospacing="0" w:afterLines="0" w:afterAutospacing="0" w:line="240" w:lineRule="auto"/>
      <w:ind w:firstLine="883" w:firstLineChars="200"/>
      <w:outlineLvl w:val="0"/>
    </w:pPr>
    <w:rPr>
      <w:rFonts w:eastAsia="仿宋" w:asciiTheme="minorAscii" w:hAnsiTheme="minorAscii"/>
      <w:kern w:val="44"/>
      <w:sz w:val="32"/>
    </w:rPr>
  </w:style>
  <w:style w:type="paragraph" w:styleId="4">
    <w:name w:val="heading 2"/>
    <w:basedOn w:val="1"/>
    <w:next w:val="1"/>
    <w:link w:val="52"/>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paragraph" w:styleId="5">
    <w:name w:val="heading 3"/>
    <w:basedOn w:val="1"/>
    <w:next w:val="1"/>
    <w:link w:val="57"/>
    <w:qFormat/>
    <w:uiPriority w:val="0"/>
    <w:pPr>
      <w:keepNext/>
      <w:numPr>
        <w:ilvl w:val="2"/>
        <w:numId w:val="1"/>
      </w:numPr>
      <w:spacing w:line="280" w:lineRule="exact"/>
      <w:jc w:val="left"/>
      <w:outlineLvl w:val="2"/>
    </w:pPr>
    <w:rPr>
      <w:rFonts w:ascii="黑体" w:hAnsi="ISOCP"/>
      <w:b/>
      <w:kern w:val="2"/>
      <w:sz w:val="28"/>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List Number"/>
    <w:basedOn w:val="1"/>
    <w:qFormat/>
    <w:uiPriority w:val="0"/>
    <w:pPr>
      <w:numPr>
        <w:ilvl w:val="0"/>
        <w:numId w:val="2"/>
      </w:numPr>
    </w:pPr>
  </w:style>
  <w:style w:type="paragraph" w:styleId="6">
    <w:name w:val="toc 7"/>
    <w:basedOn w:val="1"/>
    <w:next w:val="1"/>
    <w:semiHidden/>
    <w:qFormat/>
    <w:uiPriority w:val="0"/>
    <w:pPr>
      <w:ind w:left="1260"/>
      <w:jc w:val="left"/>
    </w:pPr>
    <w:rPr>
      <w:rFonts w:ascii="Times New Roman" w:hAnsi="Times New Roman" w:eastAsia="宋体" w:cs="Times New Roman"/>
      <w:sz w:val="20"/>
      <w:szCs w:val="20"/>
    </w:rPr>
  </w:style>
  <w:style w:type="paragraph" w:styleId="7">
    <w:name w:val="Normal Indent"/>
    <w:basedOn w:val="1"/>
    <w:qFormat/>
    <w:uiPriority w:val="0"/>
    <w:pPr>
      <w:ind w:firstLine="420"/>
      <w:jc w:val="left"/>
    </w:pPr>
  </w:style>
  <w:style w:type="paragraph" w:styleId="8">
    <w:name w:val="annotation text"/>
    <w:basedOn w:val="1"/>
    <w:link w:val="58"/>
    <w:qFormat/>
    <w:uiPriority w:val="0"/>
    <w:pPr>
      <w:jc w:val="left"/>
    </w:pPr>
    <w:rPr>
      <w:rFonts w:ascii="Times New Roman" w:hAnsi="Times New Roman" w:eastAsia="宋体" w:cs="Times New Roman"/>
      <w:szCs w:val="20"/>
    </w:rPr>
  </w:style>
  <w:style w:type="paragraph" w:styleId="9">
    <w:name w:val="Body Text 3"/>
    <w:basedOn w:val="1"/>
    <w:link w:val="65"/>
    <w:qFormat/>
    <w:uiPriority w:val="0"/>
    <w:pPr>
      <w:spacing w:after="120"/>
    </w:pPr>
    <w:rPr>
      <w:rFonts w:ascii="Times New Roman" w:hAnsi="Times New Roman" w:eastAsia="宋体" w:cs="Times New Roman"/>
      <w:sz w:val="16"/>
      <w:szCs w:val="16"/>
    </w:rPr>
  </w:style>
  <w:style w:type="paragraph" w:styleId="10">
    <w:name w:val="Body Text"/>
    <w:basedOn w:val="1"/>
    <w:next w:val="1"/>
    <w:link w:val="71"/>
    <w:qFormat/>
    <w:uiPriority w:val="0"/>
    <w:rPr>
      <w:rFonts w:ascii="宋体" w:hAnsi="Arial"/>
      <w:sz w:val="28"/>
    </w:rPr>
  </w:style>
  <w:style w:type="paragraph" w:styleId="11">
    <w:name w:val="Body Text Indent"/>
    <w:basedOn w:val="1"/>
    <w:link w:val="72"/>
    <w:qFormat/>
    <w:uiPriority w:val="0"/>
    <w:pPr>
      <w:adjustRightInd w:val="0"/>
      <w:spacing w:after="120" w:line="360" w:lineRule="atLeast"/>
      <w:ind w:left="420" w:leftChars="200"/>
      <w:jc w:val="left"/>
      <w:textAlignment w:val="baseline"/>
    </w:pPr>
    <w:rPr>
      <w:rFonts w:ascii="Times New Roman" w:hAnsi="Times New Roman" w:eastAsia="宋体" w:cs="Times New Roman"/>
      <w:kern w:val="0"/>
      <w:sz w:val="24"/>
      <w:szCs w:val="20"/>
    </w:rPr>
  </w:style>
  <w:style w:type="paragraph" w:styleId="12">
    <w:name w:val="List 2"/>
    <w:basedOn w:val="1"/>
    <w:qFormat/>
    <w:uiPriority w:val="0"/>
    <w:pPr>
      <w:ind w:left="100" w:leftChars="200" w:hanging="200" w:hangingChars="200"/>
    </w:pPr>
    <w:rPr>
      <w:rFonts w:ascii="Times New Roman" w:hAnsi="Times New Roman" w:eastAsia="宋体" w:cs="Times New Roman"/>
      <w:szCs w:val="24"/>
    </w:rPr>
  </w:style>
  <w:style w:type="paragraph" w:styleId="13">
    <w:name w:val="toc 5"/>
    <w:basedOn w:val="1"/>
    <w:next w:val="1"/>
    <w:semiHidden/>
    <w:qFormat/>
    <w:uiPriority w:val="0"/>
    <w:pPr>
      <w:ind w:left="840"/>
      <w:jc w:val="left"/>
    </w:pPr>
    <w:rPr>
      <w:rFonts w:ascii="Times New Roman" w:hAnsi="Times New Roman" w:eastAsia="宋体" w:cs="Times New Roman"/>
      <w:sz w:val="20"/>
      <w:szCs w:val="20"/>
    </w:rPr>
  </w:style>
  <w:style w:type="paragraph" w:styleId="14">
    <w:name w:val="toc 3"/>
    <w:basedOn w:val="1"/>
    <w:next w:val="1"/>
    <w:qFormat/>
    <w:uiPriority w:val="0"/>
    <w:pPr>
      <w:ind w:left="420"/>
      <w:jc w:val="left"/>
    </w:pPr>
    <w:rPr>
      <w:rFonts w:ascii="Times New Roman" w:hAnsi="Times New Roman" w:eastAsia="宋体" w:cs="Times New Roman"/>
      <w:sz w:val="20"/>
      <w:szCs w:val="20"/>
    </w:rPr>
  </w:style>
  <w:style w:type="paragraph" w:styleId="15">
    <w:name w:val="Plain Text"/>
    <w:basedOn w:val="1"/>
    <w:next w:val="1"/>
    <w:link w:val="53"/>
    <w:qFormat/>
    <w:uiPriority w:val="0"/>
    <w:rPr>
      <w:rFonts w:ascii="宋体" w:hAnsi="Courier New"/>
    </w:rPr>
  </w:style>
  <w:style w:type="paragraph" w:styleId="16">
    <w:name w:val="toc 8"/>
    <w:basedOn w:val="1"/>
    <w:next w:val="1"/>
    <w:semiHidden/>
    <w:qFormat/>
    <w:uiPriority w:val="0"/>
    <w:pPr>
      <w:ind w:left="1470"/>
      <w:jc w:val="left"/>
    </w:pPr>
    <w:rPr>
      <w:rFonts w:ascii="Times New Roman" w:hAnsi="Times New Roman" w:eastAsia="宋体" w:cs="Times New Roman"/>
      <w:sz w:val="20"/>
      <w:szCs w:val="20"/>
    </w:rPr>
  </w:style>
  <w:style w:type="paragraph" w:styleId="17">
    <w:name w:val="Date"/>
    <w:basedOn w:val="1"/>
    <w:next w:val="1"/>
    <w:link w:val="60"/>
    <w:qFormat/>
    <w:uiPriority w:val="0"/>
    <w:pPr>
      <w:ind w:left="100" w:leftChars="2500"/>
    </w:pPr>
    <w:rPr>
      <w:rFonts w:ascii="Times New Roman" w:hAnsi="Times New Roman" w:eastAsia="宋体" w:cs="Times New Roman"/>
      <w:szCs w:val="24"/>
    </w:rPr>
  </w:style>
  <w:style w:type="paragraph" w:styleId="18">
    <w:name w:val="Body Text Indent 2"/>
    <w:basedOn w:val="1"/>
    <w:link w:val="66"/>
    <w:qFormat/>
    <w:uiPriority w:val="0"/>
    <w:pPr>
      <w:spacing w:after="120" w:line="480" w:lineRule="auto"/>
      <w:ind w:left="420" w:leftChars="200"/>
    </w:pPr>
    <w:rPr>
      <w:rFonts w:ascii="Times New Roman" w:hAnsi="Times New Roman" w:eastAsia="宋体" w:cs="Times New Roman"/>
      <w:szCs w:val="24"/>
    </w:rPr>
  </w:style>
  <w:style w:type="paragraph" w:styleId="19">
    <w:name w:val="Balloon Text"/>
    <w:basedOn w:val="1"/>
    <w:link w:val="61"/>
    <w:semiHidden/>
    <w:qFormat/>
    <w:uiPriority w:val="0"/>
    <w:rPr>
      <w:rFonts w:ascii="Times New Roman" w:hAnsi="Times New Roman" w:eastAsia="宋体" w:cs="Times New Roman"/>
      <w:sz w:val="18"/>
      <w:szCs w:val="18"/>
    </w:rPr>
  </w:style>
  <w:style w:type="paragraph" w:styleId="20">
    <w:name w:val="footer"/>
    <w:basedOn w:val="1"/>
    <w:link w:val="70"/>
    <w:qFormat/>
    <w:uiPriority w:val="99"/>
    <w:pPr>
      <w:tabs>
        <w:tab w:val="center" w:pos="4153"/>
        <w:tab w:val="right" w:pos="8306"/>
      </w:tabs>
      <w:snapToGrid w:val="0"/>
      <w:jc w:val="left"/>
    </w:pPr>
    <w:rPr>
      <w:sz w:val="18"/>
    </w:rPr>
  </w:style>
  <w:style w:type="paragraph" w:styleId="21">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240" w:after="120"/>
      <w:jc w:val="left"/>
    </w:pPr>
    <w:rPr>
      <w:rFonts w:ascii="Times New Roman" w:hAnsi="Times New Roman" w:eastAsia="宋体" w:cs="Times New Roman"/>
      <w:b/>
      <w:bCs/>
      <w:sz w:val="20"/>
      <w:szCs w:val="20"/>
    </w:rPr>
  </w:style>
  <w:style w:type="paragraph" w:styleId="23">
    <w:name w:val="toc 4"/>
    <w:basedOn w:val="1"/>
    <w:next w:val="1"/>
    <w:semiHidden/>
    <w:qFormat/>
    <w:uiPriority w:val="0"/>
    <w:pPr>
      <w:ind w:left="630"/>
      <w:jc w:val="left"/>
    </w:pPr>
    <w:rPr>
      <w:rFonts w:ascii="Times New Roman" w:hAnsi="Times New Roman" w:eastAsia="宋体" w:cs="Times New Roman"/>
      <w:sz w:val="20"/>
      <w:szCs w:val="20"/>
    </w:rPr>
  </w:style>
  <w:style w:type="paragraph" w:styleId="24">
    <w:name w:val="footnote text"/>
    <w:basedOn w:val="1"/>
    <w:link w:val="54"/>
    <w:qFormat/>
    <w:uiPriority w:val="0"/>
    <w:pPr>
      <w:snapToGrid w:val="0"/>
      <w:jc w:val="left"/>
    </w:pPr>
    <w:rPr>
      <w:rFonts w:ascii="宋体" w:hAnsi="宋体" w:eastAsia="宋体" w:cs="Times New Roman"/>
      <w:sz w:val="18"/>
      <w:szCs w:val="20"/>
    </w:rPr>
  </w:style>
  <w:style w:type="paragraph" w:styleId="25">
    <w:name w:val="toc 6"/>
    <w:basedOn w:val="1"/>
    <w:next w:val="1"/>
    <w:semiHidden/>
    <w:qFormat/>
    <w:uiPriority w:val="0"/>
    <w:pPr>
      <w:ind w:left="1050"/>
      <w:jc w:val="left"/>
    </w:pPr>
    <w:rPr>
      <w:rFonts w:ascii="Times New Roman" w:hAnsi="Times New Roman" w:eastAsia="宋体" w:cs="Times New Roman"/>
      <w:sz w:val="20"/>
      <w:szCs w:val="20"/>
    </w:rPr>
  </w:style>
  <w:style w:type="paragraph" w:styleId="26">
    <w:name w:val="Body Text Indent 3"/>
    <w:basedOn w:val="1"/>
    <w:qFormat/>
    <w:uiPriority w:val="0"/>
    <w:pPr>
      <w:spacing w:after="120"/>
      <w:ind w:left="420" w:leftChars="200"/>
    </w:pPr>
    <w:rPr>
      <w:rFonts w:ascii="Times New Roman" w:hAnsi="Times New Roman" w:eastAsia="宋体" w:cs="Times New Roman"/>
      <w:sz w:val="16"/>
      <w:szCs w:val="16"/>
    </w:rPr>
  </w:style>
  <w:style w:type="paragraph" w:styleId="27">
    <w:name w:val="toc 2"/>
    <w:basedOn w:val="1"/>
    <w:next w:val="1"/>
    <w:qFormat/>
    <w:uiPriority w:val="39"/>
    <w:pPr>
      <w:spacing w:before="120"/>
      <w:ind w:left="210"/>
      <w:jc w:val="left"/>
    </w:pPr>
    <w:rPr>
      <w:rFonts w:ascii="Times New Roman" w:hAnsi="Times New Roman" w:eastAsia="宋体" w:cs="Times New Roman"/>
      <w:i/>
      <w:iCs/>
      <w:sz w:val="20"/>
      <w:szCs w:val="20"/>
    </w:rPr>
  </w:style>
  <w:style w:type="paragraph" w:styleId="28">
    <w:name w:val="toc 9"/>
    <w:basedOn w:val="1"/>
    <w:next w:val="1"/>
    <w:semiHidden/>
    <w:qFormat/>
    <w:uiPriority w:val="0"/>
    <w:pPr>
      <w:ind w:left="1680"/>
      <w:jc w:val="left"/>
    </w:pPr>
    <w:rPr>
      <w:rFonts w:ascii="Times New Roman" w:hAnsi="Times New Roman" w:eastAsia="宋体" w:cs="Times New Roman"/>
      <w:sz w:val="20"/>
      <w:szCs w:val="20"/>
    </w:rPr>
  </w:style>
  <w:style w:type="paragraph" w:styleId="2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0">
    <w:name w:val="Title"/>
    <w:basedOn w:val="1"/>
    <w:next w:val="1"/>
    <w:link w:val="76"/>
    <w:qFormat/>
    <w:uiPriority w:val="0"/>
    <w:pPr>
      <w:spacing w:before="240" w:after="60"/>
      <w:jc w:val="center"/>
      <w:outlineLvl w:val="0"/>
    </w:pPr>
    <w:rPr>
      <w:rFonts w:ascii="Cambria" w:hAnsi="Cambria" w:eastAsia="宋体" w:cs="Times New Roman"/>
      <w:b/>
      <w:bCs/>
      <w:sz w:val="32"/>
      <w:szCs w:val="32"/>
    </w:rPr>
  </w:style>
  <w:style w:type="paragraph" w:styleId="31">
    <w:name w:val="annotation subject"/>
    <w:basedOn w:val="8"/>
    <w:next w:val="8"/>
    <w:link w:val="63"/>
    <w:qFormat/>
    <w:uiPriority w:val="0"/>
    <w:rPr>
      <w:b/>
      <w:bCs/>
      <w:szCs w:val="24"/>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rPr>
      <w:rFonts w:ascii="Times New Roman" w:hAnsi="Times New Roman" w:eastAsia="宋体" w:cs="Times New Roman"/>
    </w:rPr>
  </w:style>
  <w:style w:type="character" w:styleId="37">
    <w:name w:val="FollowedHyperlink"/>
    <w:basedOn w:val="34"/>
    <w:qFormat/>
    <w:uiPriority w:val="0"/>
    <w:rPr>
      <w:rFonts w:ascii="Times New Roman" w:hAnsi="Times New Roman" w:eastAsia="宋体" w:cs="Times New Roman"/>
      <w:color w:val="800080"/>
      <w:u w:val="single"/>
    </w:rPr>
  </w:style>
  <w:style w:type="character" w:styleId="38">
    <w:name w:val="Emphasis"/>
    <w:basedOn w:val="34"/>
    <w:qFormat/>
    <w:uiPriority w:val="20"/>
    <w:rPr>
      <w:rFonts w:ascii="Times New Roman" w:hAnsi="Times New Roman" w:eastAsia="宋体" w:cs="Times New Roman"/>
    </w:rPr>
  </w:style>
  <w:style w:type="character" w:styleId="39">
    <w:name w:val="Hyperlink"/>
    <w:basedOn w:val="34"/>
    <w:qFormat/>
    <w:uiPriority w:val="0"/>
    <w:rPr>
      <w:rFonts w:ascii="Times New Roman" w:hAnsi="Times New Roman" w:eastAsia="宋体" w:cs="Times New Roman"/>
      <w:color w:val="0000FF"/>
      <w:u w:val="single"/>
    </w:rPr>
  </w:style>
  <w:style w:type="character" w:styleId="40">
    <w:name w:val="annotation reference"/>
    <w:basedOn w:val="34"/>
    <w:qFormat/>
    <w:uiPriority w:val="0"/>
    <w:rPr>
      <w:rFonts w:ascii="Times New Roman" w:hAnsi="Times New Roman" w:eastAsia="宋体" w:cs="Times New Roman"/>
      <w:sz w:val="21"/>
      <w:szCs w:val="21"/>
    </w:rPr>
  </w:style>
  <w:style w:type="character" w:customStyle="1" w:styleId="41">
    <w:name w:val="NormalCharacter"/>
    <w:link w:val="1"/>
    <w:semiHidden/>
    <w:qFormat/>
    <w:uiPriority w:val="0"/>
    <w:rPr>
      <w:rFonts w:ascii="等线" w:hAnsi="等线" w:eastAsia="等线" w:cs="等线"/>
      <w:kern w:val="2"/>
      <w:sz w:val="21"/>
      <w:szCs w:val="22"/>
      <w:lang w:val="en-US" w:eastAsia="zh-CN" w:bidi="ar-SA"/>
    </w:rPr>
  </w:style>
  <w:style w:type="paragraph" w:customStyle="1" w:styleId="42">
    <w:name w:val="列出段落"/>
    <w:basedOn w:val="1"/>
    <w:qFormat/>
    <w:uiPriority w:val="0"/>
    <w:pPr>
      <w:ind w:firstLine="420" w:firstLineChars="200"/>
    </w:pPr>
    <w:rPr>
      <w:rFonts w:ascii="Calibri" w:hAnsi="Calibri" w:eastAsia="宋体" w:cs="Times New Roman"/>
    </w:rPr>
  </w:style>
  <w:style w:type="paragraph" w:styleId="43">
    <w:name w:val="List Paragraph"/>
    <w:basedOn w:val="1"/>
    <w:qFormat/>
    <w:uiPriority w:val="34"/>
    <w:pPr>
      <w:ind w:firstLine="420" w:firstLineChars="200"/>
    </w:pPr>
  </w:style>
  <w:style w:type="character" w:customStyle="1" w:styleId="44">
    <w:name w:val="font21"/>
    <w:basedOn w:val="34"/>
    <w:qFormat/>
    <w:uiPriority w:val="0"/>
    <w:rPr>
      <w:rFonts w:hint="eastAsia" w:ascii="微软雅黑" w:hAnsi="微软雅黑" w:eastAsia="微软雅黑" w:cs="微软雅黑"/>
      <w:color w:val="000000"/>
      <w:sz w:val="20"/>
      <w:szCs w:val="20"/>
      <w:u w:val="none"/>
    </w:rPr>
  </w:style>
  <w:style w:type="paragraph" w:customStyle="1" w:styleId="45">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 w:type="paragraph" w:customStyle="1" w:styleId="46">
    <w:name w:val="正文 A"/>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47">
    <w:name w:val="正文1"/>
    <w:qFormat/>
    <w:uiPriority w:val="3"/>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8">
    <w:name w:val="段"/>
    <w:qFormat/>
    <w:uiPriority w:val="1"/>
    <w:pPr>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49">
    <w:name w:val="列表段落1"/>
    <w:basedOn w:val="1"/>
    <w:unhideWhenUsed/>
    <w:qFormat/>
    <w:uiPriority w:val="34"/>
    <w:pPr>
      <w:ind w:firstLine="420" w:firstLineChars="200"/>
    </w:pPr>
  </w:style>
  <w:style w:type="paragraph" w:customStyle="1" w:styleId="50">
    <w:name w:val="正文（缩进）"/>
    <w:basedOn w:val="1"/>
    <w:qFormat/>
    <w:uiPriority w:val="0"/>
    <w:pPr>
      <w:spacing w:beforeLines="50" w:afterLines="50"/>
      <w:ind w:firstLine="480"/>
    </w:pPr>
    <w:rPr>
      <w:rFonts w:ascii="Times New Roman" w:hAnsi="Times New Roman" w:eastAsia="宋体" w:cs="Times New Roman"/>
      <w:sz w:val="24"/>
      <w:szCs w:val="24"/>
    </w:rPr>
  </w:style>
  <w:style w:type="character" w:customStyle="1" w:styleId="51">
    <w:name w:val="标题 1 Char"/>
    <w:qFormat/>
    <w:uiPriority w:val="0"/>
    <w:rPr>
      <w:rFonts w:ascii="Times New Roman" w:hAnsi="Times New Roman" w:eastAsia="宋体" w:cs="Times New Roman"/>
      <w:b/>
      <w:bCs/>
      <w:kern w:val="44"/>
      <w:sz w:val="44"/>
      <w:szCs w:val="44"/>
      <w:lang w:val="en-US" w:eastAsia="zh-CN" w:bidi="ar-SA"/>
    </w:rPr>
  </w:style>
  <w:style w:type="character" w:customStyle="1" w:styleId="52">
    <w:name w:val="标题 2 Char"/>
    <w:basedOn w:val="34"/>
    <w:link w:val="4"/>
    <w:qFormat/>
    <w:uiPriority w:val="0"/>
    <w:rPr>
      <w:rFonts w:hint="eastAsia" w:ascii="宋体" w:hAnsi="宋体" w:eastAsia="宋体" w:cs="宋体"/>
      <w:b/>
      <w:kern w:val="0"/>
      <w:sz w:val="36"/>
      <w:szCs w:val="36"/>
      <w:lang w:val="en-US" w:eastAsia="zh-CN"/>
    </w:rPr>
  </w:style>
  <w:style w:type="character" w:customStyle="1" w:styleId="53">
    <w:name w:val="纯文本 Char"/>
    <w:basedOn w:val="34"/>
    <w:link w:val="15"/>
    <w:qFormat/>
    <w:uiPriority w:val="0"/>
    <w:rPr>
      <w:rFonts w:ascii="宋体" w:hAnsi="Courier New" w:eastAsia="宋体" w:cs="Times New Roman"/>
    </w:rPr>
  </w:style>
  <w:style w:type="character" w:customStyle="1" w:styleId="54">
    <w:name w:val="脚注文本 Char"/>
    <w:basedOn w:val="34"/>
    <w:link w:val="24"/>
    <w:qFormat/>
    <w:uiPriority w:val="0"/>
    <w:rPr>
      <w:rFonts w:ascii="宋体" w:hAnsi="宋体" w:eastAsia="宋体" w:cs="Times New Roman"/>
      <w:sz w:val="18"/>
      <w:szCs w:val="20"/>
    </w:rPr>
  </w:style>
  <w:style w:type="character" w:customStyle="1" w:styleId="55">
    <w:name w:val="Char Char2"/>
    <w:basedOn w:val="34"/>
    <w:qFormat/>
    <w:uiPriority w:val="0"/>
    <w:rPr>
      <w:rFonts w:ascii="Arial" w:hAnsi="Arial" w:eastAsia="黑体" w:cs="Times New Roman"/>
      <w:b/>
      <w:bCs/>
      <w:kern w:val="2"/>
      <w:sz w:val="32"/>
      <w:szCs w:val="32"/>
      <w:lang w:val="en-US" w:eastAsia="zh-CN" w:bidi="ar-SA"/>
    </w:rPr>
  </w:style>
  <w:style w:type="character" w:customStyle="1" w:styleId="56">
    <w:name w:val="纯文本 Char1"/>
    <w:basedOn w:val="34"/>
    <w:qFormat/>
    <w:locked/>
    <w:uiPriority w:val="0"/>
    <w:rPr>
      <w:rFonts w:ascii="宋体" w:hAnsi="Courier New" w:eastAsia="宋体" w:cs="Times New Roman"/>
      <w:kern w:val="2"/>
      <w:sz w:val="21"/>
      <w:lang w:val="en-US" w:eastAsia="zh-CN" w:bidi="ar-SA"/>
    </w:rPr>
  </w:style>
  <w:style w:type="character" w:customStyle="1" w:styleId="57">
    <w:name w:val="标题 3 Char"/>
    <w:basedOn w:val="34"/>
    <w:link w:val="5"/>
    <w:qFormat/>
    <w:uiPriority w:val="0"/>
    <w:rPr>
      <w:rFonts w:ascii="黑体" w:hAnsi="ISOCP" w:eastAsia="宋体" w:cs="Times New Roman"/>
      <w:b/>
      <w:kern w:val="2"/>
      <w:sz w:val="28"/>
      <w:szCs w:val="24"/>
    </w:rPr>
  </w:style>
  <w:style w:type="character" w:customStyle="1" w:styleId="58">
    <w:name w:val="批注文字 Char"/>
    <w:basedOn w:val="34"/>
    <w:link w:val="8"/>
    <w:qFormat/>
    <w:uiPriority w:val="0"/>
    <w:rPr>
      <w:rFonts w:ascii="Times New Roman" w:hAnsi="Times New Roman" w:eastAsia="宋体" w:cs="Times New Roman"/>
      <w:szCs w:val="20"/>
    </w:rPr>
  </w:style>
  <w:style w:type="character" w:customStyle="1" w:styleId="59">
    <w:name w:val="页眉 Char"/>
    <w:link w:val="21"/>
    <w:qFormat/>
    <w:uiPriority w:val="99"/>
    <w:rPr>
      <w:rFonts w:ascii="Times New Roman" w:hAnsi="Times New Roman" w:eastAsia="宋体" w:cs="Times New Roman"/>
      <w:sz w:val="18"/>
      <w:szCs w:val="18"/>
    </w:rPr>
  </w:style>
  <w:style w:type="character" w:customStyle="1" w:styleId="60">
    <w:name w:val="日期 Char"/>
    <w:link w:val="17"/>
    <w:qFormat/>
    <w:uiPriority w:val="0"/>
    <w:rPr>
      <w:rFonts w:ascii="Times New Roman" w:hAnsi="Times New Roman" w:eastAsia="宋体" w:cs="Times New Roman"/>
    </w:rPr>
  </w:style>
  <w:style w:type="character" w:customStyle="1" w:styleId="61">
    <w:name w:val="批注框文本 Char"/>
    <w:basedOn w:val="34"/>
    <w:link w:val="19"/>
    <w:semiHidden/>
    <w:qFormat/>
    <w:uiPriority w:val="0"/>
    <w:rPr>
      <w:rFonts w:ascii="Times New Roman" w:hAnsi="Times New Roman" w:eastAsia="宋体" w:cs="Times New Roman"/>
      <w:sz w:val="18"/>
      <w:szCs w:val="18"/>
    </w:rPr>
  </w:style>
  <w:style w:type="character" w:customStyle="1" w:styleId="62">
    <w:name w:val="bold1"/>
    <w:basedOn w:val="34"/>
    <w:qFormat/>
    <w:uiPriority w:val="0"/>
    <w:rPr>
      <w:rFonts w:ascii="Times New Roman" w:hAnsi="Times New Roman" w:eastAsia="宋体" w:cs="Times New Roman"/>
      <w:b/>
      <w:bCs/>
    </w:rPr>
  </w:style>
  <w:style w:type="character" w:customStyle="1" w:styleId="63">
    <w:name w:val="批注主题 Char"/>
    <w:basedOn w:val="58"/>
    <w:link w:val="31"/>
    <w:qFormat/>
    <w:uiPriority w:val="0"/>
    <w:rPr>
      <w:b/>
      <w:bCs/>
      <w:szCs w:val="24"/>
    </w:rPr>
  </w:style>
  <w:style w:type="character" w:customStyle="1" w:styleId="64">
    <w:name w:val="标题 2 Char1"/>
    <w:basedOn w:val="34"/>
    <w:qFormat/>
    <w:uiPriority w:val="0"/>
    <w:rPr>
      <w:rFonts w:ascii="Arial" w:hAnsi="Arial" w:eastAsia="黑体" w:cs="Times New Roman"/>
      <w:b/>
      <w:bCs/>
      <w:kern w:val="2"/>
      <w:sz w:val="32"/>
      <w:szCs w:val="32"/>
      <w:lang w:val="en-US" w:eastAsia="zh-CN" w:bidi="ar-SA"/>
    </w:rPr>
  </w:style>
  <w:style w:type="character" w:customStyle="1" w:styleId="65">
    <w:name w:val="正文文本 3 Char"/>
    <w:basedOn w:val="34"/>
    <w:link w:val="9"/>
    <w:qFormat/>
    <w:uiPriority w:val="0"/>
    <w:rPr>
      <w:rFonts w:ascii="Times New Roman" w:hAnsi="Times New Roman" w:eastAsia="宋体" w:cs="Times New Roman"/>
      <w:sz w:val="16"/>
      <w:szCs w:val="16"/>
    </w:rPr>
  </w:style>
  <w:style w:type="character" w:customStyle="1" w:styleId="66">
    <w:name w:val="正文文本缩进 2 Char"/>
    <w:basedOn w:val="34"/>
    <w:link w:val="18"/>
    <w:qFormat/>
    <w:uiPriority w:val="0"/>
    <w:rPr>
      <w:rFonts w:ascii="Times New Roman" w:hAnsi="Times New Roman" w:eastAsia="宋体" w:cs="Times New Roman"/>
    </w:rPr>
  </w:style>
  <w:style w:type="character" w:customStyle="1" w:styleId="67">
    <w:name w:val="标题 Char1"/>
    <w:basedOn w:val="34"/>
    <w:qFormat/>
    <w:uiPriority w:val="0"/>
    <w:rPr>
      <w:rFonts w:ascii="Cambria" w:hAnsi="Cambria" w:eastAsia="宋体" w:cs="Times New Roman"/>
      <w:b/>
      <w:bCs/>
      <w:kern w:val="2"/>
      <w:sz w:val="32"/>
      <w:szCs w:val="32"/>
    </w:rPr>
  </w:style>
  <w:style w:type="character" w:customStyle="1" w:styleId="68">
    <w:name w:val="正文文本 Char1"/>
    <w:basedOn w:val="34"/>
    <w:qFormat/>
    <w:uiPriority w:val="0"/>
    <w:rPr>
      <w:rFonts w:ascii="Times New Roman" w:hAnsi="Times New Roman" w:eastAsia="宋体" w:cs="Times New Roman"/>
      <w:kern w:val="2"/>
      <w:sz w:val="21"/>
      <w:szCs w:val="24"/>
    </w:rPr>
  </w:style>
  <w:style w:type="character" w:customStyle="1" w:styleId="69">
    <w:name w:val="标题 1 Char1"/>
    <w:link w:val="3"/>
    <w:qFormat/>
    <w:uiPriority w:val="0"/>
    <w:rPr>
      <w:rFonts w:eastAsia="仿宋" w:cs="Times New Roman" w:asciiTheme="minorAscii" w:hAnsiTheme="minorAscii"/>
      <w:kern w:val="44"/>
      <w:sz w:val="32"/>
    </w:rPr>
  </w:style>
  <w:style w:type="character" w:customStyle="1" w:styleId="70">
    <w:name w:val="页脚 Char"/>
    <w:basedOn w:val="34"/>
    <w:link w:val="20"/>
    <w:qFormat/>
    <w:uiPriority w:val="99"/>
    <w:rPr>
      <w:rFonts w:ascii="Times New Roman" w:hAnsi="Times New Roman" w:eastAsia="宋体" w:cs="Times New Roman"/>
      <w:sz w:val="18"/>
    </w:rPr>
  </w:style>
  <w:style w:type="character" w:customStyle="1" w:styleId="71">
    <w:name w:val="正文文本 Char"/>
    <w:link w:val="10"/>
    <w:qFormat/>
    <w:uiPriority w:val="0"/>
    <w:rPr>
      <w:rFonts w:ascii="宋体" w:hAnsi="Arial" w:eastAsia="宋体" w:cs="Times New Roman"/>
      <w:sz w:val="28"/>
    </w:rPr>
  </w:style>
  <w:style w:type="character" w:customStyle="1" w:styleId="72">
    <w:name w:val="正文文本缩进 Char"/>
    <w:basedOn w:val="34"/>
    <w:link w:val="11"/>
    <w:qFormat/>
    <w:uiPriority w:val="0"/>
    <w:rPr>
      <w:rFonts w:ascii="Times New Roman" w:hAnsi="Times New Roman" w:eastAsia="宋体" w:cs="Times New Roman"/>
      <w:kern w:val="0"/>
      <w:sz w:val="24"/>
      <w:szCs w:val="20"/>
    </w:rPr>
  </w:style>
  <w:style w:type="character" w:customStyle="1" w:styleId="73">
    <w:name w:val="hang1"/>
    <w:basedOn w:val="34"/>
    <w:qFormat/>
    <w:uiPriority w:val="0"/>
    <w:rPr>
      <w:rFonts w:ascii="Times New Roman" w:hAnsi="Times New Roman" w:eastAsia="宋体" w:cs="Times New Roman"/>
    </w:rPr>
  </w:style>
  <w:style w:type="character" w:customStyle="1" w:styleId="74">
    <w:name w:val="普通文字 Char"/>
    <w:basedOn w:val="34"/>
    <w:qFormat/>
    <w:locked/>
    <w:uiPriority w:val="0"/>
    <w:rPr>
      <w:rFonts w:ascii="宋体" w:hAnsi="Courier New" w:eastAsia="宋体" w:cs="Times New Roman"/>
      <w:lang w:bidi="ar-SA"/>
    </w:rPr>
  </w:style>
  <w:style w:type="character" w:customStyle="1" w:styleId="75">
    <w:name w:val="black11"/>
    <w:basedOn w:val="34"/>
    <w:qFormat/>
    <w:uiPriority w:val="0"/>
    <w:rPr>
      <w:rFonts w:ascii="Times New Roman" w:hAnsi="Times New Roman" w:eastAsia="宋体" w:cs="Times New Roman"/>
      <w:color w:val="000000"/>
      <w:sz w:val="18"/>
      <w:szCs w:val="18"/>
    </w:rPr>
  </w:style>
  <w:style w:type="character" w:customStyle="1" w:styleId="76">
    <w:name w:val="标题 Char"/>
    <w:link w:val="30"/>
    <w:qFormat/>
    <w:uiPriority w:val="0"/>
    <w:rPr>
      <w:rFonts w:ascii="Cambria" w:hAnsi="Cambria" w:eastAsia="宋体" w:cs="Times New Roman"/>
      <w:b/>
      <w:bCs/>
      <w:sz w:val="32"/>
      <w:szCs w:val="32"/>
    </w:rPr>
  </w:style>
  <w:style w:type="character" w:customStyle="1" w:styleId="77">
    <w:name w:val="样式 宋体 小四 红色"/>
    <w:basedOn w:val="34"/>
    <w:qFormat/>
    <w:uiPriority w:val="0"/>
    <w:rPr>
      <w:rFonts w:ascii="宋体" w:hAnsi="宋体" w:eastAsia="宋体" w:cs="Times New Roman"/>
      <w:color w:val="FF0000"/>
      <w:sz w:val="30"/>
    </w:rPr>
  </w:style>
  <w:style w:type="paragraph" w:customStyle="1" w:styleId="78">
    <w:name w:val="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79">
    <w:name w:val="p0"/>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0">
    <w:name w:val="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1">
    <w:name w:val="Char1 Char Char Char"/>
    <w:basedOn w:val="1"/>
    <w:qFormat/>
    <w:uiPriority w:val="0"/>
    <w:rPr>
      <w:rFonts w:ascii="Tahoma" w:hAnsi="Tahoma" w:eastAsia="宋体" w:cs="Times New Roman"/>
      <w:sz w:val="24"/>
      <w:szCs w:val="20"/>
    </w:rPr>
  </w:style>
  <w:style w:type="paragraph" w:customStyle="1" w:styleId="82">
    <w:name w:val="Char Char Char Char Char Char Char"/>
    <w:basedOn w:val="1"/>
    <w:qFormat/>
    <w:uiPriority w:val="0"/>
    <w:pPr>
      <w:tabs>
        <w:tab w:val="left" w:pos="432"/>
      </w:tabs>
      <w:ind w:left="432" w:hanging="432"/>
    </w:pPr>
    <w:rPr>
      <w:rFonts w:ascii="宋体" w:hAnsi="Times New Roman" w:eastAsia="宋体" w:cs="Times New Roman"/>
      <w:kern w:val="0"/>
      <w:szCs w:val="20"/>
    </w:rPr>
  </w:style>
  <w:style w:type="paragraph" w:customStyle="1" w:styleId="83">
    <w:name w:val="正文3"/>
    <w:basedOn w:val="7"/>
    <w:qFormat/>
    <w:uiPriority w:val="0"/>
    <w:pPr>
      <w:widowControl/>
      <w:suppressAutoHyphens/>
      <w:spacing w:line="560" w:lineRule="exact"/>
      <w:ind w:left="0" w:firstLine="200" w:firstLineChars="200"/>
    </w:pPr>
    <w:rPr>
      <w:rFonts w:ascii="Times New Roman" w:hAnsi="Times New Roman" w:eastAsia="宋体" w:cs="Times New Roman"/>
      <w:spacing w:val="20"/>
      <w:kern w:val="0"/>
      <w:sz w:val="24"/>
      <w:szCs w:val="20"/>
    </w:rPr>
  </w:style>
  <w:style w:type="paragraph" w:customStyle="1" w:styleId="84">
    <w:name w:val="标题4"/>
    <w:basedOn w:val="12"/>
    <w:qFormat/>
    <w:uiPriority w:val="0"/>
    <w:pPr>
      <w:suppressAutoHyphens/>
      <w:adjustRightInd w:val="0"/>
      <w:snapToGrid w:val="0"/>
      <w:spacing w:line="300" w:lineRule="auto"/>
      <w:ind w:left="384" w:leftChars="0" w:hanging="384" w:hangingChars="150"/>
    </w:pPr>
    <w:rPr>
      <w:rFonts w:ascii="宋体" w:hAnsi="宋体"/>
      <w:b/>
      <w:spacing w:val="20"/>
      <w:sz w:val="24"/>
      <w:szCs w:val="20"/>
    </w:rPr>
  </w:style>
  <w:style w:type="paragraph" w:customStyle="1" w:styleId="85">
    <w:name w:val="列出段落1"/>
    <w:basedOn w:val="1"/>
    <w:qFormat/>
    <w:uiPriority w:val="0"/>
    <w:pPr>
      <w:ind w:firstLine="420" w:firstLineChars="200"/>
    </w:pPr>
    <w:rPr>
      <w:rFonts w:ascii="Times New Roman" w:hAnsi="Times New Roman" w:eastAsia="宋体" w:cs="Times New Roman"/>
      <w:szCs w:val="24"/>
    </w:rPr>
  </w:style>
  <w:style w:type="paragraph" w:customStyle="1" w:styleId="86">
    <w:name w:val="默认段落字体 Para Char Char Char Char Char Char Char Char Char1 Char"/>
    <w:basedOn w:val="1"/>
    <w:qFormat/>
    <w:uiPriority w:val="0"/>
    <w:rPr>
      <w:rFonts w:ascii="Tahoma" w:hAnsi="Tahoma" w:eastAsia="宋体" w:cs="Times New Roman"/>
      <w:sz w:val="24"/>
      <w:szCs w:val="20"/>
    </w:rPr>
  </w:style>
  <w:style w:type="paragraph" w:customStyle="1" w:styleId="87">
    <w:name w:val="Char"/>
    <w:basedOn w:val="1"/>
    <w:qFormat/>
    <w:uiPriority w:val="0"/>
    <w:rPr>
      <w:rFonts w:ascii="Tahoma" w:hAnsi="Tahoma" w:eastAsia="宋体" w:cs="Times New Roman"/>
      <w:sz w:val="24"/>
      <w:szCs w:val="20"/>
    </w:rPr>
  </w:style>
  <w:style w:type="paragraph" w:customStyle="1" w:styleId="88">
    <w:name w:val="xl40"/>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89">
    <w:name w:val="样式 左侧:  2 字符 首行缩进:  2 字符"/>
    <w:basedOn w:val="1"/>
    <w:qFormat/>
    <w:uiPriority w:val="0"/>
    <w:pPr>
      <w:ind w:left="200" w:leftChars="200" w:firstLine="200" w:firstLineChars="200"/>
    </w:pPr>
    <w:rPr>
      <w:rFonts w:ascii="Verdana" w:hAnsi="Verdana" w:eastAsia="宋体" w:cs="Times New Roman"/>
      <w:szCs w:val="20"/>
    </w:rPr>
  </w:style>
  <w:style w:type="paragraph" w:customStyle="1" w:styleId="90">
    <w:name w:val="Char Char Char"/>
    <w:basedOn w:val="1"/>
    <w:qFormat/>
    <w:uiPriority w:val="0"/>
    <w:rPr>
      <w:rFonts w:ascii="Tahoma" w:hAnsi="Tahoma" w:eastAsia="宋体" w:cs="Times New Roman"/>
      <w:sz w:val="24"/>
      <w:szCs w:val="20"/>
    </w:rPr>
  </w:style>
  <w:style w:type="paragraph" w:customStyle="1" w:styleId="91">
    <w:name w:val="样式 样式 标题 3 + 加粗 + 加粗"/>
    <w:basedOn w:val="1"/>
    <w:qFormat/>
    <w:uiPriority w:val="0"/>
    <w:pPr>
      <w:tabs>
        <w:tab w:val="left" w:pos="420"/>
      </w:tabs>
      <w:ind w:left="420" w:hanging="420"/>
    </w:pPr>
    <w:rPr>
      <w:rFonts w:ascii="Times New Roman" w:hAnsi="Times New Roman" w:eastAsia="宋体" w:cs="Times New Roman"/>
      <w:szCs w:val="24"/>
    </w:rPr>
  </w:style>
  <w:style w:type="paragraph" w:customStyle="1" w:styleId="92">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93">
    <w:name w:val="正文2"/>
    <w:basedOn w:val="1"/>
    <w:qFormat/>
    <w:uiPriority w:val="0"/>
    <w:pPr>
      <w:widowControl/>
      <w:suppressAutoHyphens/>
      <w:spacing w:line="560" w:lineRule="exact"/>
      <w:ind w:left="220" w:hanging="220" w:hangingChars="220"/>
      <w:jc w:val="left"/>
    </w:pPr>
    <w:rPr>
      <w:rFonts w:ascii="Times New Roman" w:hAnsi="Times New Roman" w:eastAsia="宋体" w:cs="Times New Roman"/>
      <w:spacing w:val="20"/>
      <w:kern w:val="0"/>
      <w:sz w:val="24"/>
      <w:szCs w:val="20"/>
    </w:rPr>
  </w:style>
  <w:style w:type="paragraph" w:customStyle="1" w:styleId="94">
    <w:name w:val="Table Paragraph"/>
    <w:basedOn w:val="1"/>
    <w:qFormat/>
    <w:uiPriority w:val="1"/>
    <w:pPr>
      <w:jc w:val="left"/>
    </w:pPr>
    <w:rPr>
      <w:rFonts w:ascii="Calibri" w:hAnsi="Calibri" w:eastAsia="宋体" w:cs="Times New Roman"/>
      <w:kern w:val="0"/>
      <w:sz w:val="22"/>
      <w:szCs w:val="22"/>
      <w:lang w:eastAsia="en-US"/>
    </w:rPr>
  </w:style>
  <w:style w:type="paragraph" w:styleId="95">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4201</Words>
  <Characters>4798</Characters>
  <Lines>1</Lines>
  <Paragraphs>1</Paragraphs>
  <TotalTime>0</TotalTime>
  <ScaleCrop>false</ScaleCrop>
  <LinksUpToDate>false</LinksUpToDate>
  <CharactersWithSpaces>5037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2020-04-21T12:31:00Z</dcterms:created>
  <dc:creator>USER</dc:creator>
  <cp:lastModifiedBy>x</cp:lastModifiedBy>
  <cp:lastPrinted>2022-06-07T08:22:00Z</cp:lastPrinted>
  <dcterms:modified xsi:type="dcterms:W3CDTF">2023-02-20T04:26:17Z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2215F9AB1DA5440E9605A621F8AAC0D8</vt:lpwstr>
  </property>
</Properties>
</file>