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市文广新旅局政府信息公开工作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年度报告</w:t>
      </w:r>
    </w:p>
    <w:p>
      <w:pPr>
        <w:pStyle w:val="10"/>
        <w:keepNext/>
        <w:keepLines/>
        <w:pageBreakBefore w:val="0"/>
        <w:kinsoku/>
        <w:wordWrap/>
        <w:overflowPunct/>
        <w:topLinePunct w:val="0"/>
        <w:autoSpaceDE/>
        <w:autoSpaceDN/>
        <w:bidi w:val="0"/>
        <w:spacing w:beforeAutospacing="0" w:after="260" w:line="560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—、总体情况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60" w:line="560" w:lineRule="exact"/>
        <w:ind w:firstLine="618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根据《中华人民共和国政府信息公开条例》要求，凡我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可公开的政务动态信息、涉及政策法规、涉及公民、法人或其他组织切身利益的、需要社会公众广泛知晓的、机构设置、职能、办事程序等信息、其他法律、法规规定应当公开的信息等，我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依法、全面、准确、及时地在统一平台公开发布各类信息。本年度报告中所列数据的统计期限自2020年1月1日起至2020年12月31日止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，全年在市政府信息公开平台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共更新和发布信息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219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其中包括：上饶市文广新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旅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局及所属单位的基本信息概况、依法允许公开的法规文件、上饶市文广新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旅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局工作计划与发展规划、上饶市社会文化娱乐方面的新闻轶事、上饶市文广新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旅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局行政执法依据等信息。我局从各方面加大了政府网站信息公布的力度，各科室、部门都积极报送各自信息，主动性有所增强，同时严把信息保密关和质量关，便于群众及时获取所需信息。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60" w:line="560" w:lineRule="exact"/>
        <w:ind w:firstLine="618"/>
        <w:textAlignment w:val="auto"/>
        <w:rPr>
          <w:rFonts w:ascii="Times New Roman" w:hAnsi="Times New Roman" w:eastAsia="楷体"/>
          <w:b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eastAsia="楷体"/>
          <w:b/>
          <w:color w:val="333333"/>
          <w:sz w:val="32"/>
          <w:szCs w:val="32"/>
          <w:shd w:val="clear" w:color="auto" w:fill="FFFFFF"/>
        </w:rPr>
        <w:t>（一）主动公开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60" w:line="560" w:lineRule="exact"/>
        <w:ind w:firstLine="618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" w:eastAsia="zh-CN" w:bidi="ar-SA"/>
        </w:rPr>
        <w:t>我局积极落实政府信息公开工作要求，围绕工作动态、领导分工、通知公告、规章制度等涉及群众切实利益和社会需要广泛知晓的内容，做到应公开、尽公开。2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" w:eastAsia="zh-CN" w:bidi="ar-SA"/>
        </w:rPr>
        <w:t>020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" w:eastAsia="zh-CN" w:bidi="ar-SA"/>
        </w:rPr>
        <w:t>年，我局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在上饶市政府信息公开平台开设了政策法规、发展规划、人事信息、财政资金、行政执法、重大项目等政府信息公开专栏，发布政务信息219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" w:eastAsia="zh-CN" w:bidi="ar-SA"/>
        </w:rPr>
        <w:t>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60" w:line="560" w:lineRule="exact"/>
        <w:ind w:firstLine="618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Times New Roman" w:hAnsi="Times New Roman" w:eastAsia="楷体" w:cs="宋体"/>
          <w:b/>
          <w:color w:val="333333"/>
          <w:sz w:val="32"/>
          <w:szCs w:val="32"/>
          <w:shd w:val="clear" w:color="auto" w:fill="FFFFFF"/>
        </w:rPr>
        <w:t>一是</w:t>
      </w:r>
      <w:r>
        <w:rPr>
          <w:rFonts w:ascii="Times New Roman" w:hAnsi="Times New Roman" w:eastAsia="楷体" w:cs="宋体"/>
          <w:b/>
          <w:color w:val="333333"/>
          <w:sz w:val="32"/>
          <w:szCs w:val="32"/>
          <w:shd w:val="clear" w:color="auto" w:fill="FFFFFF"/>
        </w:rPr>
        <w:t>做好决策公开。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重大行政决策法定程序、重大决策预公开制度、意见征集形式涉及重大民生问题、社会关注度高的议题均在政府门户网站公开征求意见。经政府全体会议和常务会议讨论决定后，及时公开决策草案的全文及依据、背景介绍等。</w:t>
      </w:r>
      <w:r>
        <w:rPr>
          <w:rFonts w:hint="eastAsia" w:ascii="Times New Roman" w:hAnsi="Times New Roman" w:eastAsia="楷体" w:cs="宋体"/>
          <w:b/>
          <w:color w:val="333333"/>
          <w:sz w:val="32"/>
          <w:szCs w:val="32"/>
          <w:shd w:val="clear" w:color="auto" w:fill="FFFFFF"/>
          <w:lang w:val="en-US" w:eastAsia="zh-CN"/>
        </w:rPr>
        <w:t>二是做好管理公开。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按照国家规范要求,及时动态调整监管事项目录清单,确保监管事项清单与省级行政权力清单、全省“双随机、一公开”执法监督平台监管事项清单相统一。完成自有监管系统与省“互联网+监管”系统对接,每个工作日登录查看系统,及时接收、反馈相关问题信息;全面录入、汇聚监管数据。</w:t>
      </w:r>
      <w:r>
        <w:rPr>
          <w:rFonts w:hint="eastAsia" w:ascii="Times New Roman" w:hAnsi="Times New Roman" w:eastAsia="楷体" w:cs="宋体"/>
          <w:b/>
          <w:color w:val="333333"/>
          <w:sz w:val="32"/>
          <w:szCs w:val="32"/>
          <w:shd w:val="clear" w:color="auto" w:fill="FFFFFF"/>
        </w:rPr>
        <w:t>三是做好服务公开</w:t>
      </w:r>
      <w:r>
        <w:rPr>
          <w:rFonts w:hint="eastAsia" w:ascii="Times New Roman" w:hAnsi="Times New Roman" w:eastAsia="楷体" w:cs="宋体"/>
          <w:b/>
          <w:color w:val="333333"/>
          <w:sz w:val="32"/>
          <w:szCs w:val="32"/>
          <w:shd w:val="clear" w:color="auto" w:fill="FFFFFF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公布了上饶市文广新旅局依申请类政务服务事项清单；</w:t>
      </w:r>
      <w:r>
        <w:rPr>
          <w:rFonts w:hint="eastAsia" w:ascii="Times New Roman" w:hAnsi="Times New Roman" w:eastAsia="楷体" w:cs="宋体"/>
          <w:b/>
          <w:color w:val="333333"/>
          <w:sz w:val="32"/>
          <w:szCs w:val="32"/>
          <w:shd w:val="clear" w:color="auto" w:fill="FFFFFF"/>
        </w:rPr>
        <w:t>四是做好结果公开</w:t>
      </w:r>
      <w:r>
        <w:rPr>
          <w:rFonts w:hint="eastAsia" w:ascii="Times New Roman" w:hAnsi="Times New Roman" w:eastAsia="楷体" w:cs="宋体"/>
          <w:b/>
          <w:color w:val="333333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定期公开《政府工作报告》涉及我局重点任务的执行情况，向社会公开受到广泛关注、关系国计民生的人大代表建议和政协委员提案的复函；</w:t>
      </w:r>
      <w:r>
        <w:rPr>
          <w:rFonts w:hint="eastAsia" w:ascii="Times New Roman" w:hAnsi="Times New Roman" w:eastAsia="楷体" w:cs="宋体"/>
          <w:b/>
          <w:color w:val="333333"/>
          <w:sz w:val="32"/>
          <w:szCs w:val="32"/>
          <w:shd w:val="clear" w:color="auto" w:fill="FFFFFF"/>
        </w:rPr>
        <w:t>五是做好重点领域信息公开。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2020年，公布了2019年部门决算说明、2020年部门预算。开展了“上饶年味照片、视频征集”;疫情期间,开设“艺术战疫”专题,面向全市艺术工作者征求抗疫文艺作品;开设“公共文化在线”,利用在线图书馆、VR 技术等展现上饶公共文化,满足群众对文化艺术的需求;开设“抗疫专题”活动,及时发布文旅抗击疫情最新资讯和动态,回应群众需求,及时传递上饶文旅的声音;复工期间,面向游客发放旅游优惠福利,开设“优惠福利”专栏,并针对不同人群推出一系列优惠福利。联合去哪儿旅行开展“与世界重逢”活动;与12306推出宣传活动;联合铁路12306APP推出上饶文旅资讯。开展上饶十大线路评选、短视频大赛等地。</w:t>
      </w:r>
    </w:p>
    <w:p>
      <w:pPr>
        <w:pStyle w:val="5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60" w:lineRule="exact"/>
        <w:ind w:firstLine="642" w:firstLineChars="200"/>
        <w:textAlignment w:val="auto"/>
        <w:rPr>
          <w:rFonts w:ascii="Times New Roman" w:hAnsi="Times New Roman" w:eastAsia="楷体"/>
          <w:b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eastAsia="楷体"/>
          <w:b/>
          <w:color w:val="333333"/>
          <w:sz w:val="32"/>
          <w:szCs w:val="32"/>
          <w:shd w:val="clear" w:color="auto" w:fill="FFFFFF"/>
        </w:rPr>
        <w:t>（二）依申请公开</w:t>
      </w:r>
    </w:p>
    <w:p>
      <w:pPr>
        <w:pStyle w:val="5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我局认真贯彻落实《国务院办公厅关于做好政府信息依申请公开工作的意见》，积极做好信息公开的各项工作，严格执行政府工作信息依申请公开标准，在政府信息公开平台上开通了“依申请公开”栏目。2020年我局依申请公开申请事项219项。</w:t>
      </w:r>
    </w:p>
    <w:p>
      <w:pPr>
        <w:pStyle w:val="5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2" w:firstLineChars="200"/>
        <w:jc w:val="both"/>
        <w:textAlignment w:val="auto"/>
        <w:outlineLvl w:val="1"/>
        <w:rPr>
          <w:rFonts w:ascii="Times New Roman" w:hAnsi="Times New Roman" w:eastAsia="楷体"/>
          <w:b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eastAsia="楷体"/>
          <w:b/>
          <w:color w:val="333333"/>
          <w:sz w:val="32"/>
          <w:szCs w:val="32"/>
          <w:shd w:val="clear" w:color="auto" w:fill="FFFFFF"/>
        </w:rPr>
        <w:t>（三）政府信息管理</w:t>
      </w:r>
      <w:bookmarkStart w:id="0" w:name="_GoBack"/>
      <w:bookmarkEnd w:id="0"/>
    </w:p>
    <w:p>
      <w:pPr>
        <w:pStyle w:val="5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按照政府信息管理工作要求，建立我局政府信息管理公开工作流程，明确责任岗位和人员，做到准确领会、及时回复，加强督查。积极配合市政府做好政府信息管理工作，面对社会关切的有关问题，做好部门联动，统一规范，协同答复。做好规范性文件的公开工作，2020年，全年全局公开规范性文件1个。</w:t>
      </w:r>
    </w:p>
    <w:p>
      <w:pPr>
        <w:pStyle w:val="5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2" w:firstLineChars="200"/>
        <w:jc w:val="both"/>
        <w:textAlignment w:val="auto"/>
        <w:outlineLvl w:val="1"/>
        <w:rPr>
          <w:rFonts w:ascii="Times New Roman" w:hAnsi="Times New Roman" w:eastAsia="楷体"/>
          <w:b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eastAsia="楷体"/>
          <w:b/>
          <w:color w:val="333333"/>
          <w:sz w:val="32"/>
          <w:szCs w:val="32"/>
          <w:shd w:val="clear" w:color="auto" w:fill="FFFFFF"/>
        </w:rPr>
        <w:t>（四）平台建设</w:t>
      </w:r>
    </w:p>
    <w:p>
      <w:pPr>
        <w:pStyle w:val="5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根据《条例》内容，我局及时修订完善并公布了政府信息公开指南、主动公开目录、依申请公开工作程序等配套措施，做好了与《条例》的过渡衔接工作。2020年，按要求接入上饶市政府网站集约化平台，进一步建立健全内容发布、组织保障等体制机制。</w:t>
      </w:r>
    </w:p>
    <w:p>
      <w:pPr>
        <w:pStyle w:val="5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市文广新旅局信息公开平台有上饶市政府信息公开平台、“上饶旅游”官方微信公众号、“上饶旅游”官方微博、上饶文旅今日头条号。2020年，除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在市政府信息公开平台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更新和发布信息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219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外，还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通过上饶旅游政务微博公开政府信息1060条,通过政务微信公开政府信息763条。根据字节跳动官方发布，2020年2月、3月、7月、9月,上饶文旅今日头条号分别以第7、第19、第7、第 19名的成绩4个月上榜全国政务头条号20强榜单,全省唯一。微信文字原创、更新量、全年每日更新发布频率全省首列。更新文章超过500条,综合指数名列全省微信政务号前茅。</w:t>
      </w:r>
    </w:p>
    <w:p>
      <w:pPr>
        <w:pStyle w:val="5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2" w:firstLineChars="200"/>
        <w:jc w:val="both"/>
        <w:textAlignment w:val="auto"/>
        <w:outlineLvl w:val="1"/>
        <w:rPr>
          <w:rFonts w:ascii="Times New Roman" w:hAnsi="Times New Roman" w:eastAsia="楷体"/>
          <w:b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eastAsia="楷体"/>
          <w:b/>
          <w:color w:val="333333"/>
          <w:sz w:val="32"/>
          <w:szCs w:val="32"/>
          <w:shd w:val="clear" w:color="auto" w:fill="FFFFFF"/>
        </w:rPr>
        <w:t>（五）监督保障（工作考核、社会评议和责任追究结果情况）</w:t>
      </w:r>
    </w:p>
    <w:p>
      <w:pPr>
        <w:pStyle w:val="5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一是完善制度。建立了政务信息主动公开发布机制、依申请公开受理机制、发布保密审查机制、考核与监督制度等工作机制。二是部署落实。按照要求实施《公共文化服务领域基层政务公开标准指引》，责任细化到各县、各科室、单位。三是多渠道监督。坚持内部监督和社会监督相结合体系，及时对全市政务公开第三方评估发现的问题进行了集中整改，对外公布投诉举报电话，推进人民群众监督和舆论监督，及时反馈群众关切，进一步推动了我局政务公开工作纵深发展。</w:t>
      </w:r>
    </w:p>
    <w:p>
      <w:pPr>
        <w:pStyle w:val="9"/>
        <w:spacing w:after="260"/>
        <w:ind w:firstLine="620"/>
        <w:rPr>
          <w:rFonts w:hint="eastAsia" w:ascii="黑体" w:hAnsi="黑体" w:eastAsia="黑体" w:cs="黑体"/>
          <w:b w:val="0"/>
          <w:bCs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28"/>
          <w:szCs w:val="28"/>
          <w:lang w:val="en-US" w:eastAsia="zh-CN" w:bidi="ar-SA"/>
        </w:rPr>
        <w:t>二、主动公开政府信息情况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899"/>
        <w:gridCol w:w="2045"/>
        <w:gridCol w:w="2045"/>
        <w:gridCol w:w="187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atLeast"/>
          <w:jc w:val="center"/>
        </w:trPr>
        <w:tc>
          <w:tcPr>
            <w:tcW w:w="8866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第二十条第（一）项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  <w:jc w:val="center"/>
        </w:trPr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960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信息内容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60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本年新制作数量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本年新公开数量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对外公开总数量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  <w:jc w:val="center"/>
        </w:trPr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规章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="宋体"/>
                <w:sz w:val="10"/>
                <w:szCs w:val="10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  <w:jc w:val="center"/>
        </w:trPr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规范性文件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default" w:cs="Times New Roman"/>
                <w:color w:val="000000"/>
                <w:kern w:val="0"/>
                <w:sz w:val="24"/>
                <w:szCs w:val="24"/>
                <w:lang w:val="en" w:eastAsia="zh-CN" w:bidi="ar-SA"/>
              </w:rPr>
              <w:t>8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default" w:cs="Times New Roman"/>
                <w:color w:val="000000"/>
                <w:kern w:val="0"/>
                <w:sz w:val="24"/>
                <w:szCs w:val="24"/>
                <w:lang w:val="en" w:eastAsia="zh-CN" w:bidi="ar-SA"/>
              </w:rPr>
              <w:t>8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default" w:cs="Times New Roman"/>
                <w:color w:val="000000"/>
                <w:kern w:val="0"/>
                <w:sz w:val="24"/>
                <w:szCs w:val="24"/>
                <w:lang w:val="en" w:eastAsia="zh-CN" w:bidi="ar-SA"/>
              </w:rPr>
              <w:t>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  <w:jc w:val="center"/>
        </w:trPr>
        <w:tc>
          <w:tcPr>
            <w:tcW w:w="8866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第二十条第（五）项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  <w:jc w:val="center"/>
        </w:trPr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960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信息内容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60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上一年项目数量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本年增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处理决定数量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  <w:jc w:val="center"/>
        </w:trPr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行政许可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default" w:cs="Times New Roman"/>
                <w:color w:val="000000"/>
                <w:kern w:val="0"/>
                <w:sz w:val="24"/>
                <w:szCs w:val="24"/>
                <w:lang w:val="en" w:eastAsia="zh-CN" w:bidi="ar-SA"/>
              </w:rPr>
              <w:t>49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default" w:cs="Times New Roman"/>
                <w:color w:val="000000"/>
                <w:kern w:val="0"/>
                <w:sz w:val="24"/>
                <w:szCs w:val="24"/>
                <w:lang w:val="en" w:eastAsia="zh-CN" w:bidi="ar-SA"/>
              </w:rPr>
              <w:t>20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default" w:cs="Times New Roman"/>
                <w:color w:val="000000"/>
                <w:kern w:val="0"/>
                <w:sz w:val="24"/>
                <w:szCs w:val="24"/>
                <w:lang w:val="en" w:eastAsia="zh-CN" w:bidi="ar-SA"/>
              </w:rPr>
              <w:t>69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atLeast"/>
          <w:jc w:val="center"/>
        </w:trPr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其他对外管理服务事项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default" w:cs="Times New Roman"/>
                <w:color w:val="000000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default" w:cs="Times New Roman"/>
                <w:color w:val="000000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default" w:cs="Times New Roman"/>
                <w:color w:val="000000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  <w:jc w:val="center"/>
        </w:trPr>
        <w:tc>
          <w:tcPr>
            <w:tcW w:w="8866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第二十条第（六）项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  <w:jc w:val="center"/>
        </w:trPr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960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信息内容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60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上一年项目数量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本年增/减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处理决定数量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  <w:jc w:val="center"/>
        </w:trPr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行政处罚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default" w:cs="Times New Roman"/>
                <w:color w:val="000000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default" w:cs="Times New Roman"/>
                <w:color w:val="000000"/>
                <w:kern w:val="0"/>
                <w:sz w:val="24"/>
                <w:szCs w:val="24"/>
                <w:lang w:val="en" w:eastAsia="zh-CN" w:bidi="ar-SA"/>
              </w:rPr>
              <w:t>增10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="宋体"/>
                <w:sz w:val="10"/>
                <w:szCs w:val="10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cs="Times New Roman"/>
                <w:color w:val="000000"/>
                <w:kern w:val="0"/>
                <w:sz w:val="24"/>
                <w:szCs w:val="24"/>
                <w:lang w:val="en" w:eastAsia="zh-CN" w:bidi="ar-SA"/>
              </w:rPr>
              <w:t>1</w:t>
            </w: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  <w:jc w:val="center"/>
        </w:trPr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行政强制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6" w:hRule="atLeast"/>
          <w:jc w:val="center"/>
        </w:trPr>
        <w:tc>
          <w:tcPr>
            <w:tcW w:w="8866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第二十条第（八）项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  <w:jc w:val="center"/>
        </w:trPr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960"/>
              <w:textAlignment w:val="auto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信息内容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160"/>
              <w:textAlignment w:val="auto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上一年项目数量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本年增/减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atLeast"/>
          <w:jc w:val="center"/>
        </w:trPr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textAlignment w:val="auto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行政事业性收费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  <w:jc w:val="center"/>
        </w:trPr>
        <w:tc>
          <w:tcPr>
            <w:tcW w:w="8866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第二十条第（九）项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  <w:jc w:val="center"/>
        </w:trPr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960"/>
              <w:textAlignment w:val="auto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信息内容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采购项目数量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采购总金额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atLeast"/>
          <w:jc w:val="center"/>
        </w:trPr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textAlignment w:val="auto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政府集中采购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/>
                <w:sz w:val="10"/>
                <w:szCs w:val="10"/>
              </w:rPr>
            </w:pPr>
          </w:p>
        </w:tc>
      </w:tr>
    </w:tbl>
    <w:p>
      <w:pPr>
        <w:widowControl/>
        <w:rPr>
          <w:rFonts w:ascii="宋体" w:hAnsi="宋体" w:cs="宋体"/>
          <w:sz w:val="20"/>
          <w:szCs w:val="20"/>
        </w:rPr>
        <w:sectPr>
          <w:footerReference r:id="rId3" w:type="default"/>
          <w:pgSz w:w="11900" w:h="16840"/>
          <w:pgMar w:top="1495" w:right="1517" w:bottom="2117" w:left="1517" w:header="720" w:footer="720" w:gutter="0"/>
          <w:cols w:space="720" w:num="1"/>
          <w:docGrid w:type="lines" w:linePitch="360" w:charSpace="0"/>
        </w:sectPr>
      </w:pPr>
    </w:p>
    <w:tbl>
      <w:tblPr>
        <w:tblStyle w:val="6"/>
        <w:tblW w:w="8866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8"/>
        <w:gridCol w:w="523"/>
        <w:gridCol w:w="2827"/>
        <w:gridCol w:w="840"/>
        <w:gridCol w:w="629"/>
        <w:gridCol w:w="629"/>
        <w:gridCol w:w="840"/>
        <w:gridCol w:w="835"/>
        <w:gridCol w:w="539"/>
        <w:gridCol w:w="66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atLeast"/>
          <w:jc w:val="center"/>
        </w:trPr>
        <w:tc>
          <w:tcPr>
            <w:tcW w:w="388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 w:line="254" w:lineRule="exact"/>
              <w:ind w:left="0" w:right="0" w:firstLine="0"/>
              <w:jc w:val="center"/>
              <w:rPr>
                <w:rFonts w:hint="default" w:cs="Times New Roman"/>
                <w:color w:val="auto"/>
                <w:sz w:val="20"/>
                <w:szCs w:val="20"/>
              </w:rPr>
            </w:pPr>
            <w:r>
              <w:rPr>
                <w:rFonts w:hint="eastAsia" w:cs="Times New Roman"/>
                <w:color w:val="auto"/>
                <w:sz w:val="20"/>
                <w:szCs w:val="20"/>
              </w:rPr>
              <w:t>（本列数据的勾稽关系为:第一项加第二项 之和，等于第三项加第四项之和）</w:t>
            </w:r>
          </w:p>
        </w:tc>
        <w:tc>
          <w:tcPr>
            <w:tcW w:w="4978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cs="Times New Roman"/>
                <w:color w:val="auto"/>
                <w:sz w:val="20"/>
                <w:szCs w:val="20"/>
              </w:rPr>
            </w:pPr>
            <w:r>
              <w:rPr>
                <w:rFonts w:hint="eastAsia" w:cs="Times New Roman"/>
                <w:color w:val="auto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388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rPr>
                <w:rFonts w:hint="default" w:cs="Times New Roman"/>
                <w:color w:val="auto"/>
                <w:sz w:val="20"/>
                <w:szCs w:val="20"/>
              </w:rPr>
            </w:pPr>
            <w:r>
              <w:rPr>
                <w:rFonts w:hint="eastAsia" w:cs="Times New Roman"/>
                <w:color w:val="auto"/>
                <w:sz w:val="20"/>
                <w:szCs w:val="20"/>
              </w:rPr>
              <w:t>自然人</w:t>
            </w:r>
          </w:p>
        </w:tc>
        <w:tc>
          <w:tcPr>
            <w:tcW w:w="3472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cs="Times New Roman"/>
                <w:color w:val="auto"/>
                <w:sz w:val="20"/>
                <w:szCs w:val="20"/>
              </w:rPr>
            </w:pPr>
            <w:r>
              <w:rPr>
                <w:rFonts w:hint="eastAsia" w:cs="Times New Roman"/>
                <w:color w:val="auto"/>
                <w:sz w:val="20"/>
                <w:szCs w:val="20"/>
              </w:rPr>
              <w:t>法人或其他组织</w:t>
            </w:r>
          </w:p>
        </w:tc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cs="Times New Roman"/>
                <w:color w:val="auto"/>
                <w:sz w:val="20"/>
                <w:szCs w:val="20"/>
              </w:rPr>
            </w:pPr>
            <w:r>
              <w:rPr>
                <w:rFonts w:hint="eastAsia" w:cs="Times New Roman"/>
                <w:color w:val="auto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atLeast"/>
          <w:jc w:val="center"/>
        </w:trPr>
        <w:tc>
          <w:tcPr>
            <w:tcW w:w="388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 w:line="254" w:lineRule="exact"/>
              <w:ind w:left="0" w:right="0" w:firstLine="0"/>
              <w:jc w:val="center"/>
              <w:rPr>
                <w:rFonts w:hint="default" w:cs="Times New Roman"/>
                <w:color w:val="auto"/>
                <w:sz w:val="20"/>
                <w:szCs w:val="20"/>
              </w:rPr>
            </w:pPr>
            <w:r>
              <w:rPr>
                <w:rFonts w:hint="eastAsia" w:cs="Times New Roman"/>
                <w:color w:val="auto"/>
                <w:sz w:val="20"/>
                <w:szCs w:val="20"/>
              </w:rPr>
              <w:t>商业 企业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 w:line="259" w:lineRule="exact"/>
              <w:ind w:left="0" w:right="0" w:firstLine="0"/>
              <w:jc w:val="center"/>
              <w:rPr>
                <w:rFonts w:hint="default" w:cs="Times New Roman"/>
                <w:color w:val="auto"/>
                <w:sz w:val="20"/>
                <w:szCs w:val="20"/>
              </w:rPr>
            </w:pPr>
            <w:r>
              <w:rPr>
                <w:rFonts w:hint="eastAsia" w:cs="Times New Roman"/>
                <w:color w:val="auto"/>
                <w:sz w:val="20"/>
                <w:szCs w:val="20"/>
              </w:rPr>
              <w:t>科研 机构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 w:line="259" w:lineRule="exact"/>
              <w:ind w:left="0" w:right="0" w:firstLine="0"/>
              <w:jc w:val="center"/>
              <w:rPr>
                <w:rFonts w:hint="default" w:cs="Times New Roman"/>
                <w:color w:val="auto"/>
                <w:sz w:val="20"/>
                <w:szCs w:val="20"/>
              </w:rPr>
            </w:pPr>
            <w:r>
              <w:rPr>
                <w:rFonts w:hint="eastAsia" w:cs="Times New Roman"/>
                <w:color w:val="auto"/>
                <w:sz w:val="20"/>
                <w:szCs w:val="20"/>
              </w:rPr>
              <w:t>社会公 益组织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 w:line="259" w:lineRule="exact"/>
              <w:ind w:left="0" w:right="0" w:firstLine="0"/>
              <w:jc w:val="center"/>
              <w:rPr>
                <w:rFonts w:hint="default" w:cs="Times New Roman"/>
                <w:color w:val="auto"/>
                <w:sz w:val="20"/>
                <w:szCs w:val="20"/>
              </w:rPr>
            </w:pPr>
            <w:r>
              <w:rPr>
                <w:rFonts w:hint="eastAsia" w:cs="Times New Roman"/>
                <w:color w:val="auto"/>
                <w:sz w:val="20"/>
                <w:szCs w:val="20"/>
              </w:rPr>
              <w:t>法律服 务机构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cs="Times New Roman"/>
                <w:color w:val="auto"/>
                <w:sz w:val="20"/>
                <w:szCs w:val="20"/>
              </w:rPr>
            </w:pPr>
            <w:r>
              <w:rPr>
                <w:rFonts w:hint="eastAsia" w:cs="Times New Roman"/>
                <w:color w:val="auto"/>
                <w:sz w:val="20"/>
                <w:szCs w:val="20"/>
              </w:rPr>
              <w:t>其他</w:t>
            </w:r>
          </w:p>
        </w:tc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atLeast"/>
          <w:jc w:val="center"/>
        </w:trPr>
        <w:tc>
          <w:tcPr>
            <w:tcW w:w="388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 w:firstLine="0"/>
              <w:textAlignment w:val="auto"/>
              <w:rPr>
                <w:rFonts w:hint="default" w:cs="Times New Roman"/>
                <w:color w:val="auto"/>
                <w:sz w:val="20"/>
                <w:szCs w:val="20"/>
              </w:rPr>
            </w:pPr>
            <w:r>
              <w:rPr>
                <w:rFonts w:hint="eastAsia" w:cs="Times New Roman"/>
                <w:color w:val="auto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auto"/>
              <w:rPr>
                <w:rFonts w:hint="eastAsia" w:eastAsia="宋体"/>
                <w:color w:val="auto"/>
                <w:sz w:val="10"/>
                <w:szCs w:val="10"/>
                <w:lang w:val="en-US" w:eastAsia="zh-CN"/>
              </w:rPr>
            </w:pPr>
            <w:r>
              <w:rPr>
                <w:rFonts w:hint="default"/>
                <w:color w:val="auto"/>
                <w:lang w:val="en" w:eastAsia="zh-CN"/>
              </w:rPr>
              <w:t>219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auto"/>
              <w:rPr>
                <w:rFonts w:hint="eastAsia" w:eastAsia="宋体"/>
                <w:color w:val="auto"/>
                <w:sz w:val="10"/>
                <w:szCs w:val="10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auto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auto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auto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auto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  <w:color w:val="auto"/>
                <w:lang w:val="en" w:eastAsia="zh-CN"/>
              </w:rPr>
              <w:t>219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atLeast"/>
          <w:jc w:val="center"/>
        </w:trPr>
        <w:tc>
          <w:tcPr>
            <w:tcW w:w="3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 w:firstLine="0"/>
              <w:textAlignment w:val="auto"/>
              <w:rPr>
                <w:rFonts w:hint="default" w:cs="Times New Roman"/>
                <w:color w:val="auto"/>
                <w:sz w:val="20"/>
                <w:szCs w:val="20"/>
              </w:rPr>
            </w:pPr>
            <w:r>
              <w:rPr>
                <w:rFonts w:hint="eastAsia" w:cs="Times New Roman"/>
                <w:color w:val="auto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auto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auto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auto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auto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auto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auto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atLeast"/>
          <w:jc w:val="center"/>
        </w:trPr>
        <w:tc>
          <w:tcPr>
            <w:tcW w:w="5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default" w:cs="Times New Roman"/>
                <w:color w:val="auto"/>
                <w:sz w:val="20"/>
                <w:szCs w:val="20"/>
              </w:rPr>
            </w:pPr>
            <w:r>
              <w:rPr>
                <w:rFonts w:hint="eastAsia" w:cs="Times New Roman"/>
                <w:color w:val="auto"/>
                <w:sz w:val="20"/>
                <w:szCs w:val="20"/>
                <w:lang w:eastAsia="zh-CN"/>
              </w:rPr>
              <w:t>三、</w:t>
            </w:r>
            <w:r>
              <w:rPr>
                <w:rFonts w:hint="eastAsia" w:cs="Times New Roman"/>
                <w:color w:val="auto"/>
                <w:sz w:val="20"/>
                <w:szCs w:val="20"/>
              </w:rPr>
              <w:t>年 度办 理结 果</w:t>
            </w:r>
          </w:p>
        </w:tc>
        <w:tc>
          <w:tcPr>
            <w:tcW w:w="3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 w:firstLine="0"/>
              <w:textAlignment w:val="auto"/>
              <w:rPr>
                <w:rFonts w:hint="default" w:cs="Times New Roman"/>
                <w:color w:val="auto"/>
                <w:sz w:val="20"/>
                <w:szCs w:val="20"/>
              </w:rPr>
            </w:pPr>
            <w:r>
              <w:rPr>
                <w:rFonts w:hint="eastAsia" w:cs="Times New Roman"/>
                <w:color w:val="auto"/>
                <w:sz w:val="20"/>
                <w:szCs w:val="20"/>
              </w:rPr>
              <w:t>（一）予以公开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auto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/>
                <w:color w:val="auto"/>
                <w:lang w:val="en" w:eastAsia="zh-CN"/>
              </w:rPr>
              <w:t>219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auto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auto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auto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auto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auto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219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2" w:hRule="atLeast"/>
          <w:jc w:val="center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textAlignment w:val="auto"/>
              <w:rPr>
                <w:rFonts w:hint="default"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3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 w:firstLine="0"/>
              <w:textAlignment w:val="auto"/>
              <w:rPr>
                <w:rFonts w:hint="default" w:cs="Times New Roman"/>
                <w:color w:val="auto"/>
                <w:sz w:val="20"/>
                <w:szCs w:val="20"/>
              </w:rPr>
            </w:pPr>
            <w:r>
              <w:rPr>
                <w:rFonts w:hint="eastAsia" w:cs="Times New Roman"/>
                <w:color w:val="auto"/>
                <w:sz w:val="20"/>
                <w:szCs w:val="20"/>
              </w:rPr>
              <w:t>（二）部分公开（区分处理的，只计这 一情形，不计其他情形）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auto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auto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auto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auto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auto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auto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  <w:jc w:val="center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textAlignment w:val="auto"/>
              <w:rPr>
                <w:rFonts w:hint="default"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5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default" w:cs="Times New Roman"/>
                <w:color w:val="auto"/>
                <w:sz w:val="20"/>
                <w:szCs w:val="20"/>
              </w:rPr>
            </w:pPr>
            <w:r>
              <w:rPr>
                <w:rFonts w:hint="eastAsia" w:cs="Times New Roman"/>
                <w:color w:val="auto"/>
                <w:sz w:val="20"/>
                <w:szCs w:val="20"/>
              </w:rPr>
              <w:t>（三） 不予 公开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 w:firstLine="0"/>
              <w:textAlignment w:val="auto"/>
              <w:rPr>
                <w:rFonts w:hint="default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1.</w:t>
            </w:r>
            <w:r>
              <w:rPr>
                <w:rFonts w:hint="eastAsia" w:cs="Times New Roman"/>
                <w:color w:val="auto"/>
                <w:sz w:val="20"/>
                <w:szCs w:val="20"/>
              </w:rPr>
              <w:t>属于国家秘密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auto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auto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auto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auto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auto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auto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  <w:jc w:val="center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textAlignment w:val="auto"/>
              <w:rPr>
                <w:rFonts w:hint="default"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textAlignment w:val="auto"/>
              <w:rPr>
                <w:rFonts w:hint="default"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 w:firstLine="0"/>
              <w:textAlignment w:val="auto"/>
              <w:rPr>
                <w:rFonts w:hint="default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2.</w:t>
            </w:r>
            <w:r>
              <w:rPr>
                <w:rFonts w:hint="eastAsia" w:cs="Times New Roman"/>
                <w:color w:val="auto"/>
                <w:sz w:val="20"/>
                <w:szCs w:val="20"/>
              </w:rPr>
              <w:t>其他法律行政法规禁止公开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auto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auto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auto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auto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auto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auto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" w:hRule="atLeast"/>
          <w:jc w:val="center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textAlignment w:val="auto"/>
              <w:rPr>
                <w:rFonts w:hint="default"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textAlignment w:val="auto"/>
              <w:rPr>
                <w:rFonts w:hint="default"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 w:firstLine="0"/>
              <w:textAlignment w:val="auto"/>
              <w:rPr>
                <w:rFonts w:hint="default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3.</w:t>
            </w:r>
            <w:r>
              <w:rPr>
                <w:rFonts w:hint="eastAsia" w:cs="Times New Roman"/>
                <w:color w:val="auto"/>
                <w:sz w:val="20"/>
                <w:szCs w:val="20"/>
              </w:rPr>
              <w:t>危及“三安全一稳定”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auto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auto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auto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auto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auto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auto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  <w:jc w:val="center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textAlignment w:val="auto"/>
              <w:rPr>
                <w:rFonts w:hint="default"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textAlignment w:val="auto"/>
              <w:rPr>
                <w:rFonts w:hint="default"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 w:firstLine="0"/>
              <w:textAlignment w:val="auto"/>
              <w:rPr>
                <w:rFonts w:hint="default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4.</w:t>
            </w:r>
            <w:r>
              <w:rPr>
                <w:rFonts w:hint="eastAsia" w:cs="Times New Roman"/>
                <w:color w:val="auto"/>
                <w:sz w:val="20"/>
                <w:szCs w:val="20"/>
              </w:rPr>
              <w:t>保护第三方合法权益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auto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auto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auto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auto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auto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auto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  <w:jc w:val="center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textAlignment w:val="auto"/>
              <w:rPr>
                <w:rFonts w:hint="default"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textAlignment w:val="auto"/>
              <w:rPr>
                <w:rFonts w:hint="default"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 w:firstLine="0"/>
              <w:textAlignment w:val="auto"/>
              <w:rPr>
                <w:rFonts w:hint="default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5.</w:t>
            </w:r>
            <w:r>
              <w:rPr>
                <w:rFonts w:hint="eastAsia" w:cs="Times New Roman"/>
                <w:color w:val="auto"/>
                <w:sz w:val="20"/>
                <w:szCs w:val="20"/>
              </w:rPr>
              <w:t>属于三类内部事务信息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auto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auto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auto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auto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auto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auto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  <w:jc w:val="center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textAlignment w:val="auto"/>
              <w:rPr>
                <w:rFonts w:hint="default"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textAlignment w:val="auto"/>
              <w:rPr>
                <w:rFonts w:hint="default"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 w:firstLine="0"/>
              <w:textAlignment w:val="auto"/>
              <w:rPr>
                <w:rFonts w:hint="default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6.</w:t>
            </w:r>
            <w:r>
              <w:rPr>
                <w:rFonts w:hint="eastAsia" w:cs="Times New Roman"/>
                <w:color w:val="auto"/>
                <w:sz w:val="20"/>
                <w:szCs w:val="20"/>
              </w:rPr>
              <w:t>属于四类过程性信息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auto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auto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auto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auto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auto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auto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" w:hRule="atLeast"/>
          <w:jc w:val="center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textAlignment w:val="auto"/>
              <w:rPr>
                <w:rFonts w:hint="default"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textAlignment w:val="auto"/>
              <w:rPr>
                <w:rFonts w:hint="default"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 w:firstLine="0"/>
              <w:textAlignment w:val="auto"/>
              <w:rPr>
                <w:rFonts w:hint="default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7.</w:t>
            </w:r>
            <w:r>
              <w:rPr>
                <w:rFonts w:hint="eastAsia" w:cs="Times New Roman"/>
                <w:color w:val="auto"/>
                <w:sz w:val="20"/>
                <w:szCs w:val="20"/>
              </w:rPr>
              <w:t>属于行政执法案卷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auto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auto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auto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auto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auto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auto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  <w:jc w:val="center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textAlignment w:val="auto"/>
              <w:rPr>
                <w:rFonts w:hint="default"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textAlignment w:val="auto"/>
              <w:rPr>
                <w:rFonts w:hint="default"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 w:firstLine="0"/>
              <w:textAlignment w:val="auto"/>
              <w:rPr>
                <w:rFonts w:hint="default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8.</w:t>
            </w:r>
            <w:r>
              <w:rPr>
                <w:rFonts w:hint="eastAsia" w:cs="Times New Roman"/>
                <w:color w:val="auto"/>
                <w:sz w:val="20"/>
                <w:szCs w:val="20"/>
              </w:rPr>
              <w:t>属于行政査询事项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auto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auto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auto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auto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auto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auto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  <w:jc w:val="center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5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 w:line="266" w:lineRule="exact"/>
              <w:ind w:left="0" w:right="0" w:firstLine="0"/>
              <w:jc w:val="both"/>
              <w:rPr>
                <w:rFonts w:hint="default" w:cs="Times New Roman"/>
                <w:color w:val="auto"/>
                <w:sz w:val="20"/>
                <w:szCs w:val="20"/>
              </w:rPr>
            </w:pPr>
            <w:r>
              <w:rPr>
                <w:rFonts w:hint="eastAsia" w:cs="Times New Roman"/>
                <w:color w:val="auto"/>
                <w:sz w:val="20"/>
                <w:szCs w:val="20"/>
              </w:rPr>
              <w:t>（四） 无法 提供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rPr>
                <w:rFonts w:hint="default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1.</w:t>
            </w:r>
            <w:r>
              <w:rPr>
                <w:rFonts w:hint="eastAsia" w:cs="Times New Roman"/>
                <w:color w:val="auto"/>
                <w:sz w:val="20"/>
                <w:szCs w:val="20"/>
              </w:rPr>
              <w:t>本机关不掌握相关政府信息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rPr>
                <w:rFonts w:hint="default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2.</w:t>
            </w:r>
            <w:r>
              <w:rPr>
                <w:rFonts w:hint="eastAsia" w:cs="Times New Roman"/>
                <w:color w:val="auto"/>
                <w:sz w:val="20"/>
                <w:szCs w:val="20"/>
              </w:rPr>
              <w:t>没有现成信息需要另行制作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rPr>
                <w:rFonts w:hint="default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3.</w:t>
            </w:r>
            <w:r>
              <w:rPr>
                <w:rFonts w:hint="eastAsia" w:cs="Times New Roman"/>
                <w:color w:val="auto"/>
                <w:sz w:val="20"/>
                <w:szCs w:val="20"/>
              </w:rPr>
              <w:t>补正后申请内容仍不明确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  <w:jc w:val="center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5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 w:line="264" w:lineRule="exact"/>
              <w:ind w:left="0" w:right="0" w:firstLine="0"/>
              <w:jc w:val="both"/>
              <w:rPr>
                <w:rFonts w:hint="default" w:cs="Times New Roman"/>
                <w:color w:val="auto"/>
                <w:sz w:val="20"/>
                <w:szCs w:val="20"/>
              </w:rPr>
            </w:pPr>
            <w:r>
              <w:rPr>
                <w:rFonts w:hint="eastAsia" w:cs="Times New Roman"/>
                <w:color w:val="auto"/>
                <w:sz w:val="20"/>
                <w:szCs w:val="20"/>
              </w:rPr>
              <w:t>（五） 不予 处理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rPr>
                <w:rFonts w:hint="default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1.</w:t>
            </w:r>
            <w:r>
              <w:rPr>
                <w:rFonts w:hint="eastAsia" w:cs="Times New Roman"/>
                <w:color w:val="auto"/>
                <w:sz w:val="20"/>
                <w:szCs w:val="20"/>
              </w:rPr>
              <w:t>信访举报投诉类申请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rPr>
                <w:rFonts w:hint="default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2.</w:t>
            </w:r>
            <w:r>
              <w:rPr>
                <w:rFonts w:hint="eastAsia" w:cs="Times New Roman"/>
                <w:color w:val="auto"/>
                <w:sz w:val="20"/>
                <w:szCs w:val="20"/>
              </w:rPr>
              <w:t>重复申请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rPr>
                <w:rFonts w:hint="default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3.</w:t>
            </w:r>
            <w:r>
              <w:rPr>
                <w:rFonts w:hint="eastAsia" w:cs="Times New Roman"/>
                <w:color w:val="auto"/>
                <w:sz w:val="20"/>
                <w:szCs w:val="20"/>
              </w:rPr>
              <w:t>要求提供公开出版物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  <w:jc w:val="center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52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rPr>
                <w:rFonts w:hint="default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4.</w:t>
            </w:r>
            <w:r>
              <w:rPr>
                <w:rFonts w:hint="eastAsia" w:cs="Times New Roman"/>
                <w:color w:val="auto"/>
                <w:sz w:val="20"/>
                <w:szCs w:val="20"/>
              </w:rPr>
              <w:t>无正当理由大量反复申请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atLeast"/>
          <w:jc w:val="center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52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 w:line="264" w:lineRule="exact"/>
              <w:ind w:left="0" w:right="0" w:firstLine="0"/>
              <w:rPr>
                <w:rFonts w:hint="default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5.</w:t>
            </w:r>
            <w:r>
              <w:rPr>
                <w:rFonts w:hint="eastAsia" w:cs="Times New Roman"/>
                <w:color w:val="auto"/>
                <w:sz w:val="20"/>
                <w:szCs w:val="20"/>
              </w:rPr>
              <w:t>要求行政机关确认或重新 出具已获取信息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atLeast"/>
          <w:jc w:val="center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335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rPr>
                <w:rFonts w:hint="default" w:cs="Times New Roman"/>
                <w:color w:val="auto"/>
                <w:sz w:val="20"/>
                <w:szCs w:val="20"/>
              </w:rPr>
            </w:pPr>
            <w:r>
              <w:rPr>
                <w:rFonts w:hint="eastAsia" w:cs="Times New Roman"/>
                <w:color w:val="auto"/>
                <w:sz w:val="20"/>
                <w:szCs w:val="20"/>
              </w:rPr>
              <w:t>（六）其他处理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atLeast"/>
          <w:jc w:val="center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3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rPr>
                <w:rFonts w:hint="default" w:cs="Times New Roman"/>
                <w:color w:val="auto"/>
                <w:sz w:val="20"/>
                <w:szCs w:val="20"/>
              </w:rPr>
            </w:pPr>
            <w:r>
              <w:rPr>
                <w:rFonts w:hint="eastAsia" w:cs="Times New Roman"/>
                <w:color w:val="auto"/>
                <w:sz w:val="20"/>
                <w:szCs w:val="20"/>
              </w:rPr>
              <w:t>（七）总计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10"/>
                <w:szCs w:val="10"/>
                <w:lang w:val="en-US" w:eastAsia="zh-CN" w:bidi="ar-SA"/>
              </w:rPr>
            </w:pPr>
            <w:r>
              <w:rPr>
                <w:rFonts w:hint="default"/>
                <w:color w:val="auto"/>
                <w:lang w:val="en" w:eastAsia="zh-CN"/>
              </w:rPr>
              <w:t>219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10"/>
                <w:szCs w:val="10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10"/>
                <w:szCs w:val="10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10"/>
                <w:szCs w:val="10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10"/>
                <w:szCs w:val="10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10"/>
                <w:szCs w:val="10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219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7" w:hRule="atLeast"/>
          <w:jc w:val="center"/>
        </w:trPr>
        <w:tc>
          <w:tcPr>
            <w:tcW w:w="3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rPr>
                <w:rFonts w:hint="default" w:cs="Times New Roman"/>
                <w:color w:val="auto"/>
                <w:sz w:val="20"/>
                <w:szCs w:val="20"/>
              </w:rPr>
            </w:pPr>
            <w:r>
              <w:rPr>
                <w:rFonts w:hint="eastAsia" w:cs="Times New Roman"/>
                <w:color w:val="auto"/>
                <w:sz w:val="20"/>
                <w:szCs w:val="20"/>
              </w:rPr>
              <w:t>四、结转下年度继续办理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10"/>
                <w:szCs w:val="10"/>
              </w:rPr>
            </w:pPr>
            <w:r>
              <w:rPr>
                <w:rFonts w:hint="default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  <w:t>0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</w:tr>
    </w:tbl>
    <w:p>
      <w:pPr>
        <w:pStyle w:val="9"/>
        <w:spacing w:after="260"/>
        <w:ind w:left="0" w:leftChars="0" w:firstLine="0" w:firstLineChars="0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三、政府信息公开行政复议、行政诉讼情况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95"/>
        <w:gridCol w:w="590"/>
        <w:gridCol w:w="586"/>
        <w:gridCol w:w="586"/>
        <w:gridCol w:w="586"/>
        <w:gridCol w:w="590"/>
        <w:gridCol w:w="586"/>
        <w:gridCol w:w="586"/>
        <w:gridCol w:w="590"/>
        <w:gridCol w:w="586"/>
        <w:gridCol w:w="586"/>
        <w:gridCol w:w="586"/>
        <w:gridCol w:w="590"/>
        <w:gridCol w:w="586"/>
        <w:gridCol w:w="63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atLeast"/>
          <w:jc w:val="center"/>
        </w:trPr>
        <w:tc>
          <w:tcPr>
            <w:tcW w:w="2943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行政复议</w:t>
            </w:r>
          </w:p>
        </w:tc>
        <w:tc>
          <w:tcPr>
            <w:tcW w:w="5924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9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 w:line="264" w:lineRule="exact"/>
              <w:ind w:left="0" w:right="0" w:firstLine="0"/>
              <w:rPr>
                <w:rFonts w:hint="default"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结果 维持</w:t>
            </w:r>
          </w:p>
        </w:tc>
        <w:tc>
          <w:tcPr>
            <w:tcW w:w="59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 w:line="254" w:lineRule="exact"/>
              <w:ind w:left="0" w:right="0" w:firstLine="0"/>
              <w:jc w:val="center"/>
              <w:rPr>
                <w:rFonts w:hint="default"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结果 纠正</w:t>
            </w:r>
          </w:p>
        </w:tc>
        <w:tc>
          <w:tcPr>
            <w:tcW w:w="58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 w:line="264" w:lineRule="exact"/>
              <w:ind w:left="0" w:right="0" w:firstLine="0"/>
              <w:jc w:val="center"/>
              <w:rPr>
                <w:rFonts w:hint="default"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其他 结果</w:t>
            </w:r>
          </w:p>
        </w:tc>
        <w:tc>
          <w:tcPr>
            <w:tcW w:w="58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 w:line="264" w:lineRule="exact"/>
              <w:ind w:left="0" w:right="0" w:firstLine="0"/>
              <w:jc w:val="center"/>
              <w:rPr>
                <w:rFonts w:hint="default"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尚未 审结</w:t>
            </w:r>
          </w:p>
        </w:tc>
        <w:tc>
          <w:tcPr>
            <w:tcW w:w="58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rPr>
                <w:rFonts w:hint="default"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总计</w:t>
            </w:r>
          </w:p>
        </w:tc>
        <w:tc>
          <w:tcPr>
            <w:tcW w:w="2938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未经复议直接起诉</w:t>
            </w:r>
          </w:p>
        </w:tc>
        <w:tc>
          <w:tcPr>
            <w:tcW w:w="2986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atLeast"/>
          <w:jc w:val="center"/>
        </w:trPr>
        <w:tc>
          <w:tcPr>
            <w:tcW w:w="59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0"/>
                <w:szCs w:val="20"/>
              </w:rPr>
            </w:pPr>
          </w:p>
        </w:tc>
        <w:tc>
          <w:tcPr>
            <w:tcW w:w="59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0"/>
                <w:szCs w:val="20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0"/>
                <w:szCs w:val="20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0"/>
                <w:szCs w:val="20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 w:line="264" w:lineRule="exact"/>
              <w:ind w:left="0" w:right="0" w:firstLine="0"/>
              <w:jc w:val="center"/>
              <w:rPr>
                <w:rFonts w:hint="default"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结果 维持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 w:line="254" w:lineRule="exact"/>
              <w:ind w:left="0" w:right="0" w:firstLine="0"/>
              <w:jc w:val="center"/>
              <w:rPr>
                <w:rFonts w:hint="default"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结果 纠正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 w:line="259" w:lineRule="exact"/>
              <w:ind w:left="0" w:right="0" w:firstLine="0"/>
              <w:rPr>
                <w:rFonts w:hint="default"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其他 结果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 w:line="264" w:lineRule="exact"/>
              <w:ind w:left="0" w:right="0" w:firstLine="0"/>
              <w:jc w:val="center"/>
              <w:rPr>
                <w:rFonts w:hint="default"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尚未 审结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总计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 w:line="264" w:lineRule="exact"/>
              <w:ind w:left="0" w:right="0" w:firstLine="0"/>
              <w:jc w:val="center"/>
              <w:rPr>
                <w:rFonts w:hint="default"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结果 维持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 w:line="254" w:lineRule="exact"/>
              <w:ind w:left="0" w:right="0" w:firstLine="0"/>
              <w:jc w:val="center"/>
              <w:rPr>
                <w:rFonts w:hint="default"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结果 纠正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 w:line="259" w:lineRule="exact"/>
              <w:ind w:left="0" w:right="0" w:firstLine="0"/>
              <w:jc w:val="center"/>
              <w:rPr>
                <w:rFonts w:hint="default"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其他 结果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 w:line="264" w:lineRule="exact"/>
              <w:ind w:left="0" w:right="0" w:firstLine="0"/>
              <w:jc w:val="center"/>
              <w:rPr>
                <w:rFonts w:hint="default"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尚未 审结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 w:firstLine="334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 w:firstLine="279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 w:firstLine="259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 w:firstLine="288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 w:firstLine="302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 w:firstLine="226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 w:firstLine="326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 w:firstLine="355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 w:firstLine="309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 w:firstLine="214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 w:firstLine="303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 w:firstLine="332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 w:firstLine="316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 w:firstLine="251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 w:firstLine="295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</w:tr>
    </w:tbl>
    <w:p>
      <w:pPr>
        <w:pStyle w:val="10"/>
        <w:keepNext/>
        <w:keepLines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260" w:line="56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存在的主要问题及改进情况</w:t>
      </w:r>
    </w:p>
    <w:p>
      <w:pPr>
        <w:pStyle w:val="5"/>
        <w:pageBreakBefore w:val="0"/>
        <w:widowControl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5" w:afterAutospacing="0" w:line="560" w:lineRule="exact"/>
        <w:ind w:left="0" w:right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（一）存在的主要问题</w:t>
      </w:r>
    </w:p>
    <w:p>
      <w:pPr>
        <w:pStyle w:val="5"/>
        <w:pageBreakBefore w:val="0"/>
        <w:widowControl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5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val="en-US"/>
        </w:rPr>
        <w:t>20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shd w:val="clear" w:fill="FFFFFF"/>
          <w:lang w:val="e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eastAsia="zh-CN"/>
        </w:rPr>
        <w:t>年，我局信息公开工作取得了一定的成绩，但离上级的要求和群众的期盼还有一定的差距，主要是政策解读还有待深化推进、有时信息公开不够及时、工作机制不够健全、专业人员缺乏，重点领域信息公开内容仍需细化。</w:t>
      </w:r>
    </w:p>
    <w:p>
      <w:pPr>
        <w:pStyle w:val="5"/>
        <w:pageBreakBefore w:val="0"/>
        <w:widowControl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5" w:afterAutospacing="0" w:line="560" w:lineRule="exact"/>
        <w:ind w:left="0" w:right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 xml:space="preserve"> （二）改进措施</w:t>
      </w:r>
    </w:p>
    <w:p>
      <w:pPr>
        <w:pStyle w:val="5"/>
        <w:pageBreakBefore w:val="0"/>
        <w:widowControl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5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eastAsia="zh-CN"/>
        </w:rPr>
        <w:t>强化对政策文件的解读。健全政策解读机制，力争做到政策文件与解读材料同步组织、同步部署、同步发布。加强对市政府信息公开平台的内容保障，发布更多权威准确、形式多样的政策解读产品，完善政策文件与解读材料关联功能，为公众查阅政策文件提供便利。</w:t>
      </w:r>
    </w:p>
    <w:p>
      <w:pPr>
        <w:pStyle w:val="5"/>
        <w:pageBreakBefore w:val="0"/>
        <w:widowControl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5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eastAsia="zh-CN"/>
        </w:rPr>
        <w:t>增强信息公开的主动性与时效性，进一步完善的信息公开制度，明确政府信息公开责任，强化信息审核与发布，确保政府信息公开工作责任到位、落实到位。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val="en-US" w:eastAsia="zh-CN"/>
        </w:rPr>
        <w:t xml:space="preserve">    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eastAsia="zh-CN"/>
        </w:rPr>
        <w:t>加强对政府信息公开专职人员的培训，进一步提高从业人员服务意识、工作意识，确保信息公开、及时、有效。进一步加大监督检查力度，提高政府信息公开网站的抽检频次，确保重点领域信息公开等政府信息工作落到实处。</w:t>
      </w:r>
    </w:p>
    <w:p>
      <w:pPr>
        <w:pStyle w:val="10"/>
        <w:keepNext/>
        <w:keepLines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260" w:line="56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、其他需要报告的事项</w:t>
      </w:r>
    </w:p>
    <w:p>
      <w:pPr>
        <w:pStyle w:val="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260" w:line="560" w:lineRule="exact"/>
        <w:ind w:firstLine="62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  <w:t>（无）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M6pebnPAAAABQEAAA8AAAAAAAAAAQAgAAAAOAAAAGRycy9kb3ducmV2&#10;LnhtbFBLAQIUABQAAAAIAIdO4kBL25QFtgEAAFUDAAAOAAAAAAAAAAEAIAAAADQ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8C5"/>
    <w:rsid w:val="003C48C5"/>
    <w:rsid w:val="0041305F"/>
    <w:rsid w:val="0AAB0319"/>
    <w:rsid w:val="121B4447"/>
    <w:rsid w:val="15264288"/>
    <w:rsid w:val="1E7FC15A"/>
    <w:rsid w:val="1F195CB7"/>
    <w:rsid w:val="28171BF4"/>
    <w:rsid w:val="2F3B321B"/>
    <w:rsid w:val="32B912A8"/>
    <w:rsid w:val="3AE21C10"/>
    <w:rsid w:val="3CFC7CBF"/>
    <w:rsid w:val="3EFDE957"/>
    <w:rsid w:val="3F5F0897"/>
    <w:rsid w:val="3FC80E27"/>
    <w:rsid w:val="3FFF9C52"/>
    <w:rsid w:val="447A7530"/>
    <w:rsid w:val="4F1A14A9"/>
    <w:rsid w:val="4F7F144F"/>
    <w:rsid w:val="4FCB7653"/>
    <w:rsid w:val="545A74D9"/>
    <w:rsid w:val="56FFC833"/>
    <w:rsid w:val="57FD13FC"/>
    <w:rsid w:val="5BFDEC2A"/>
    <w:rsid w:val="5C1A6558"/>
    <w:rsid w:val="5DFF607B"/>
    <w:rsid w:val="5ECF3FAF"/>
    <w:rsid w:val="5F6F9539"/>
    <w:rsid w:val="5F77A939"/>
    <w:rsid w:val="5FEC162A"/>
    <w:rsid w:val="5FFE87D0"/>
    <w:rsid w:val="63AE77C9"/>
    <w:rsid w:val="67C5613E"/>
    <w:rsid w:val="6B2F543F"/>
    <w:rsid w:val="6EE56BB4"/>
    <w:rsid w:val="6F7967A9"/>
    <w:rsid w:val="6FBBFD9B"/>
    <w:rsid w:val="6FBE883F"/>
    <w:rsid w:val="725E2760"/>
    <w:rsid w:val="75BD4ACF"/>
    <w:rsid w:val="767DB084"/>
    <w:rsid w:val="768E6862"/>
    <w:rsid w:val="77BDDAAA"/>
    <w:rsid w:val="77F5F677"/>
    <w:rsid w:val="79FE31E3"/>
    <w:rsid w:val="7CFA7E8E"/>
    <w:rsid w:val="7CFF9661"/>
    <w:rsid w:val="7F18572A"/>
    <w:rsid w:val="7F96016A"/>
    <w:rsid w:val="7FAF37F3"/>
    <w:rsid w:val="7FD0168D"/>
    <w:rsid w:val="7FFFD6D8"/>
    <w:rsid w:val="97FBF0F4"/>
    <w:rsid w:val="BD634E20"/>
    <w:rsid w:val="BFD1F693"/>
    <w:rsid w:val="BFEF36FB"/>
    <w:rsid w:val="BFF72E27"/>
    <w:rsid w:val="CFE783C7"/>
    <w:rsid w:val="DFA76437"/>
    <w:rsid w:val="DFBF2499"/>
    <w:rsid w:val="E4DE91C6"/>
    <w:rsid w:val="E9FFDA1D"/>
    <w:rsid w:val="EEAFF094"/>
    <w:rsid w:val="EF7D56C5"/>
    <w:rsid w:val="EF7F968B"/>
    <w:rsid w:val="EFE934F9"/>
    <w:rsid w:val="F1FD373F"/>
    <w:rsid w:val="F3BF48A2"/>
    <w:rsid w:val="F3FB50CA"/>
    <w:rsid w:val="F46E27BC"/>
    <w:rsid w:val="F4C4C9A5"/>
    <w:rsid w:val="F57FB12F"/>
    <w:rsid w:val="F6EED60D"/>
    <w:rsid w:val="F6FF5F16"/>
    <w:rsid w:val="F7BF277E"/>
    <w:rsid w:val="F7EF3C0D"/>
    <w:rsid w:val="F9E20B0E"/>
    <w:rsid w:val="FBDC0F4F"/>
    <w:rsid w:val="FBDF6673"/>
    <w:rsid w:val="FCF77A30"/>
    <w:rsid w:val="FDDDDA30"/>
    <w:rsid w:val="FEFF0B9C"/>
    <w:rsid w:val="FF2B25DE"/>
    <w:rsid w:val="FF2E60BB"/>
    <w:rsid w:val="FF5E97F8"/>
    <w:rsid w:val="FF9DEE3D"/>
    <w:rsid w:val="FFFFA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8">
    <w:name w:val="Other|1"/>
    <w:basedOn w:val="1"/>
    <w:qFormat/>
    <w:uiPriority w:val="0"/>
    <w:pPr>
      <w:spacing w:line="444" w:lineRule="auto"/>
      <w:ind w:firstLine="400"/>
    </w:pPr>
    <w:rPr>
      <w:rFonts w:ascii="宋体" w:hAnsi="宋体" w:cs="宋体"/>
      <w:sz w:val="28"/>
      <w:szCs w:val="28"/>
    </w:rPr>
  </w:style>
  <w:style w:type="paragraph" w:customStyle="1" w:styleId="9">
    <w:name w:val="Body text|1"/>
    <w:basedOn w:val="1"/>
    <w:qFormat/>
    <w:uiPriority w:val="0"/>
    <w:pPr>
      <w:spacing w:line="444" w:lineRule="auto"/>
      <w:ind w:firstLine="400"/>
    </w:pPr>
    <w:rPr>
      <w:rFonts w:ascii="宋体" w:hAnsi="宋体" w:cs="宋体"/>
      <w:sz w:val="28"/>
      <w:szCs w:val="28"/>
    </w:rPr>
  </w:style>
  <w:style w:type="paragraph" w:customStyle="1" w:styleId="10">
    <w:name w:val="Heading #3|1"/>
    <w:basedOn w:val="1"/>
    <w:qFormat/>
    <w:uiPriority w:val="0"/>
    <w:pPr>
      <w:spacing w:line="587" w:lineRule="exact"/>
      <w:ind w:firstLine="620"/>
      <w:outlineLvl w:val="2"/>
    </w:pPr>
    <w:rPr>
      <w:rFonts w:ascii="宋体" w:hAnsi="宋体" w:cs="宋体"/>
      <w:b/>
      <w:bCs/>
      <w:sz w:val="28"/>
      <w:szCs w:val="28"/>
    </w:rPr>
  </w:style>
  <w:style w:type="paragraph" w:customStyle="1" w:styleId="11">
    <w:name w:val="Heading #2|1"/>
    <w:basedOn w:val="1"/>
    <w:qFormat/>
    <w:uiPriority w:val="0"/>
    <w:pPr>
      <w:spacing w:after="180" w:line="703" w:lineRule="exact"/>
      <w:jc w:val="center"/>
      <w:outlineLvl w:val="1"/>
    </w:pPr>
    <w:rPr>
      <w:rFonts w:ascii="宋体" w:hAnsi="宋体" w:cs="宋体"/>
      <w:sz w:val="40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173</Words>
  <Characters>991</Characters>
  <Lines>8</Lines>
  <Paragraphs>2</Paragraphs>
  <TotalTime>1</TotalTime>
  <ScaleCrop>false</ScaleCrop>
  <LinksUpToDate>false</LinksUpToDate>
  <CharactersWithSpaces>1162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2020-01-20T07:23:00Z</dcterms:created>
  <dc:creator>daofz</dc:creator>
  <cp:lastModifiedBy>市文广新旅局收发员</cp:lastModifiedBy>
  <cp:lastPrinted>2021-02-03T14:52:00Z</cp:lastPrinted>
  <dcterms:modified xsi:type="dcterms:W3CDTF">2021-05-11T10:40:54Z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