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29"/>
        <w:gridCol w:w="4257"/>
        <w:gridCol w:w="85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8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  <w:t>各单位反馈意见采纳情况一览表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提出的意见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采纳情况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未采纳理由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市司法局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市委政法委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《措施》中的工作责任分工进一步细化，比如第十二条“进一步强化宣传引导”建议将“充分运用电视、报纸……社会舆论支持”与“健全完善禁捕退捕应急处置预案和隐患排查机制……坚决避免发生群体性上访和群体性事件”拆分开来。理由：参照省意见赣发〔2020〕17号文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部分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采纳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考虑到文件篇幅和该段落主旨，将段落标题由“进一步强化宣传引导”改为“进一步维护湖区和谐稳定”。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1.第八条“进一步保护水生资源”：水利部门没有相应工作职能，市水利局不作为责任牵头单位，建议将市水利局放在其他单位后面，我局对该项工作予以配合；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已采纳</w:t>
            </w: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2.第九条“进一步维护岸线生态功能”：建议增加市农业农村局为责任单位。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firstLine="391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建议将第四条中“所涉相关应由政府补贴的社保资金问题，依法依规明确委托一家银行代行财政补贴社保资金的划拨代缴工作”删除。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已采纳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市纪委监委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第十三条中“对责任落实不到位、工作推进不力、数据弄虚作假的单位部门，特别是由此导致出现负面新闻或群体性事件的，”建议改为“对责任落实不到位、工作推进不力、数据弄虚作假的，特别是由此导致出现不良影响或严重后果的”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已采纳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十三条中“加大激励表彰和督促检查问责力度，对工作力度大、完成任务好、实施成效显著的单位和个人，按有关规定进行表彰。”，根据《江西省贯彻&lt;国家功勋荣誉表彰条例&gt;实施办法》（赣发[2019]19号）文件第十四条规定“市、县级表彰奖励项目的设立、调整和撤销等，需报省委、省政府批准。”，我市未设此表彰项目，不能开展表彰活动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已采纳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市文广新旅局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市住建局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市林业局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市扶贫办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人行上饶中心支行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市银保监局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市卫健委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市医保局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市生态环境局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市自然资源局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国网上饶供电公司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市工信局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市委编办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市委网信办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市司法局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市委信访局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上饶市农业农村局收发员</cp:lastModifiedBy>
  <dcterms:modified xsi:type="dcterms:W3CDTF">2020-10-29T02:44:27Z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