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黑体" w:hAnsi="黑体" w:eastAsia="黑体"/>
          <w:b/>
          <w:bCs/>
          <w:color w:val="000000"/>
          <w:kern w:val="0"/>
          <w:sz w:val="44"/>
          <w:szCs w:val="44"/>
        </w:rPr>
      </w:pPr>
      <w:r>
        <w:rPr>
          <w:rFonts w:hint="eastAsia" w:ascii="黑体" w:hAnsi="黑体" w:eastAsia="黑体"/>
          <w:b/>
          <w:bCs/>
          <w:color w:val="000000"/>
          <w:kern w:val="0"/>
          <w:sz w:val="44"/>
          <w:szCs w:val="44"/>
        </w:rPr>
        <w:t>上饶市地方储备粮管理办公室202</w:t>
      </w:r>
      <w:r>
        <w:rPr>
          <w:rFonts w:hint="eastAsia" w:ascii="黑体" w:hAnsi="黑体" w:eastAsia="黑体"/>
          <w:b/>
          <w:bCs/>
          <w:color w:val="000000"/>
          <w:kern w:val="0"/>
          <w:sz w:val="44"/>
          <w:szCs w:val="44"/>
          <w:lang w:val="en-US" w:eastAsia="zh-CN"/>
        </w:rPr>
        <w:t>2</w:t>
      </w:r>
      <w:r>
        <w:rPr>
          <w:rFonts w:hint="eastAsia" w:ascii="黑体" w:hAnsi="黑体" w:eastAsia="黑体"/>
          <w:b/>
          <w:bCs/>
          <w:color w:val="000000"/>
          <w:kern w:val="0"/>
          <w:sz w:val="44"/>
          <w:szCs w:val="44"/>
        </w:rPr>
        <w:t>年部门预算</w:t>
      </w:r>
    </w:p>
    <w:p>
      <w:pPr>
        <w:pStyle w:val="6"/>
        <w:spacing w:line="600" w:lineRule="atLeast"/>
        <w:jc w:val="center"/>
        <w:rPr>
          <w:rFonts w:ascii="黑体" w:hAnsi="黑体" w:eastAsia="黑体"/>
          <w:color w:val="000000"/>
          <w:sz w:val="32"/>
          <w:szCs w:val="32"/>
        </w:rPr>
      </w:pPr>
    </w:p>
    <w:p>
      <w:pPr>
        <w:pStyle w:val="6"/>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6"/>
        <w:rPr>
          <w:rFonts w:ascii="宋体" w:hAnsi="宋体"/>
          <w:color w:val="000000"/>
        </w:rPr>
      </w:pPr>
    </w:p>
    <w:p>
      <w:pPr>
        <w:pStyle w:val="6"/>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第一部分上饶市地方储备粮管理办公室概况</w:t>
      </w:r>
    </w:p>
    <w:p>
      <w:pPr>
        <w:pStyle w:val="6"/>
        <w:spacing w:line="600" w:lineRule="atLeast"/>
        <w:ind w:firstLine="1120" w:firstLineChars="350"/>
        <w:jc w:val="left"/>
        <w:rPr>
          <w:rFonts w:ascii="Adobe 仿宋 Std R" w:hAnsi="Adobe 仿宋 Std R" w:eastAsia="Adobe 仿宋 Std R"/>
          <w:kern w:val="2"/>
          <w:sz w:val="32"/>
          <w:szCs w:val="30"/>
        </w:rPr>
      </w:pPr>
      <w:r>
        <w:rPr>
          <w:rFonts w:hint="eastAsia" w:ascii="Adobe 仿宋 Std R" w:hAnsi="Adobe 仿宋 Std R" w:eastAsia="Adobe 仿宋 Std R"/>
          <w:kern w:val="2"/>
          <w:sz w:val="32"/>
          <w:szCs w:val="30"/>
        </w:rPr>
        <w:t xml:space="preserve"> </w:t>
      </w:r>
      <w:r>
        <w:rPr>
          <w:rFonts w:ascii="Adobe 仿宋 Std R" w:hAnsi="Adobe 仿宋 Std R" w:eastAsia="Adobe 仿宋 Std R"/>
          <w:kern w:val="2"/>
          <w:sz w:val="32"/>
          <w:szCs w:val="30"/>
        </w:rPr>
        <w:t>一、部门主要职责</w:t>
      </w:r>
    </w:p>
    <w:p>
      <w:pPr>
        <w:pStyle w:val="6"/>
        <w:spacing w:line="600" w:lineRule="atLeast"/>
        <w:ind w:firstLine="1280" w:firstLineChars="40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二、部门基本情况</w:t>
      </w:r>
    </w:p>
    <w:p>
      <w:pPr>
        <w:pStyle w:val="6"/>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第二部分 上饶市地方储备粮管理办公室202</w:t>
      </w:r>
      <w:r>
        <w:rPr>
          <w:rFonts w:hint="eastAsia" w:ascii="仿宋_GB2312" w:eastAsia="仿宋_GB2312"/>
          <w:b/>
          <w:bCs/>
          <w:color w:val="000000"/>
          <w:sz w:val="32"/>
          <w:szCs w:val="32"/>
          <w:lang w:val="en-US" w:eastAsia="zh-CN"/>
        </w:rPr>
        <w:t>2</w:t>
      </w:r>
      <w:r>
        <w:rPr>
          <w:rFonts w:hint="eastAsia" w:ascii="仿宋_GB2312" w:eastAsia="仿宋_GB2312"/>
          <w:b/>
          <w:bCs/>
          <w:color w:val="000000"/>
          <w:sz w:val="32"/>
          <w:szCs w:val="32"/>
        </w:rPr>
        <w:t>年部门预算情况说明</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一、202</w:t>
      </w:r>
      <w:r>
        <w:rPr>
          <w:rFonts w:hint="eastAsia" w:ascii="Adobe 仿宋 Std R" w:hAnsi="Adobe 仿宋 Std R" w:eastAsia="Adobe 仿宋 Std R"/>
          <w:kern w:val="2"/>
          <w:sz w:val="32"/>
          <w:szCs w:val="30"/>
          <w:lang w:val="en-US" w:eastAsia="zh-CN"/>
        </w:rPr>
        <w:t>2</w:t>
      </w:r>
      <w:r>
        <w:rPr>
          <w:rFonts w:ascii="Adobe 仿宋 Std R" w:hAnsi="Adobe 仿宋 Std R" w:eastAsia="Adobe 仿宋 Std R"/>
          <w:kern w:val="2"/>
          <w:sz w:val="32"/>
          <w:szCs w:val="30"/>
        </w:rPr>
        <w:t>年部门预算收支情况说明</w:t>
      </w:r>
    </w:p>
    <w:p>
      <w:pPr>
        <w:pStyle w:val="6"/>
        <w:spacing w:line="600" w:lineRule="atLeast"/>
        <w:ind w:firstLine="1120" w:firstLineChars="35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 xml:space="preserve"> 二、202</w:t>
      </w:r>
      <w:r>
        <w:rPr>
          <w:rFonts w:hint="eastAsia" w:ascii="Adobe 仿宋 Std R" w:hAnsi="Adobe 仿宋 Std R" w:eastAsia="Adobe 仿宋 Std R"/>
          <w:kern w:val="2"/>
          <w:sz w:val="32"/>
          <w:szCs w:val="30"/>
          <w:lang w:val="en-US" w:eastAsia="zh-CN"/>
        </w:rPr>
        <w:t>2</w:t>
      </w:r>
      <w:r>
        <w:rPr>
          <w:rFonts w:ascii="Adobe 仿宋 Std R" w:hAnsi="Adobe 仿宋 Std R" w:eastAsia="Adobe 仿宋 Std R"/>
          <w:kern w:val="2"/>
          <w:sz w:val="32"/>
          <w:szCs w:val="30"/>
        </w:rPr>
        <w:t>年“三公”经费预算情况说明</w:t>
      </w:r>
    </w:p>
    <w:p>
      <w:pPr>
        <w:pStyle w:val="6"/>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第三部分 上饶市地方储备粮管理办公室20</w:t>
      </w:r>
      <w:r>
        <w:rPr>
          <w:rFonts w:hint="eastAsia" w:ascii="仿宋_GB2312" w:eastAsia="仿宋_GB2312"/>
          <w:b/>
          <w:bCs/>
          <w:color w:val="000000"/>
          <w:sz w:val="32"/>
          <w:szCs w:val="32"/>
          <w:lang w:val="en-US" w:eastAsia="zh-CN"/>
        </w:rPr>
        <w:t>22</w:t>
      </w:r>
      <w:r>
        <w:rPr>
          <w:rFonts w:hint="eastAsia" w:ascii="仿宋_GB2312" w:eastAsia="仿宋_GB2312"/>
          <w:b/>
          <w:bCs/>
          <w:color w:val="000000"/>
          <w:sz w:val="32"/>
          <w:szCs w:val="32"/>
        </w:rPr>
        <w:t>年部门预算表</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一、《收支预算总表》</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二、《部门收入总表》</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三、《部门支出总表》</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四、《财政拨款收支总表》</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五、《一般公共预算支出表》</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六、《一般公共预算基本支出表》</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七、《一般公共预算“三公”经费支出表》</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八、《政府性基金预算支出表》</w:t>
      </w:r>
    </w:p>
    <w:p>
      <w:pPr>
        <w:pStyle w:val="6"/>
        <w:spacing w:line="600" w:lineRule="atLeast"/>
        <w:ind w:firstLine="1280"/>
        <w:jc w:val="left"/>
        <w:rPr>
          <w:rFonts w:ascii="Adobe 仿宋 Std R" w:hAnsi="Adobe 仿宋 Std R" w:eastAsia="Adobe 仿宋 Std R"/>
          <w:kern w:val="2"/>
          <w:sz w:val="32"/>
          <w:szCs w:val="30"/>
        </w:rPr>
      </w:pPr>
      <w:r>
        <w:rPr>
          <w:rFonts w:ascii="Adobe 仿宋 Std R" w:hAnsi="Adobe 仿宋 Std R" w:eastAsia="Adobe 仿宋 Std R"/>
          <w:kern w:val="2"/>
          <w:sz w:val="32"/>
          <w:szCs w:val="30"/>
        </w:rPr>
        <w:t>九、《一级项目绩效目标表》</w:t>
      </w:r>
    </w:p>
    <w:p>
      <w:pPr>
        <w:pStyle w:val="6"/>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第一部分</w:t>
      </w:r>
      <w:r>
        <w:rPr>
          <w:rFonts w:hint="eastAsia" w:ascii="仿宋_GB2312" w:eastAsia="仿宋_GB2312"/>
          <w:b/>
          <w:sz w:val="32"/>
          <w:szCs w:val="30"/>
          <w:lang w:val="en-US" w:eastAsia="zh-CN"/>
        </w:rPr>
        <w:t xml:space="preserve">  </w:t>
      </w:r>
      <w:r>
        <w:rPr>
          <w:rFonts w:hint="eastAsia" w:ascii="仿宋_GB2312" w:eastAsia="仿宋_GB2312"/>
          <w:b/>
          <w:sz w:val="32"/>
          <w:szCs w:val="30"/>
        </w:rPr>
        <w:t>上饶市地方储备粮管理办公室概况</w:t>
      </w:r>
    </w:p>
    <w:p>
      <w:pPr>
        <w:widowControl/>
        <w:spacing w:line="580" w:lineRule="exact"/>
        <w:jc w:val="left"/>
        <w:rPr>
          <w:rFonts w:ascii="宋体" w:hAnsi="宋体"/>
          <w:b/>
          <w:sz w:val="36"/>
          <w:szCs w:val="36"/>
        </w:rPr>
      </w:pPr>
    </w:p>
    <w:p>
      <w:pPr>
        <w:widowControl/>
        <w:spacing w:line="580" w:lineRule="exact"/>
        <w:jc w:val="left"/>
        <w:rPr>
          <w:rFonts w:ascii="宋体" w:hAnsi="宋体"/>
          <w:b/>
          <w:sz w:val="36"/>
          <w:szCs w:val="36"/>
        </w:rPr>
      </w:pPr>
      <w:r>
        <w:rPr>
          <w:rFonts w:hint="eastAsia" w:ascii="宋体" w:hAnsi="宋体"/>
          <w:b/>
          <w:sz w:val="36"/>
          <w:szCs w:val="36"/>
        </w:rPr>
        <w:t>一、部门主要职责</w:t>
      </w:r>
    </w:p>
    <w:p>
      <w:pPr>
        <w:widowControl/>
        <w:spacing w:line="580" w:lineRule="exact"/>
        <w:ind w:firstLine="636"/>
        <w:jc w:val="left"/>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上饶市地方储备粮管理办公室主要为市本级粮食市场稳定和粮食安全提供服务。根据市粮食局拟定的上饶市地方储备粮收购、仓储、调运、轮换计划做好组织实施工作，并确保上饶市地方储备粮的数量、质量和安全。</w:t>
      </w:r>
    </w:p>
    <w:p>
      <w:pPr>
        <w:rPr>
          <w:rFonts w:hint="eastAsia"/>
          <w:b/>
          <w:sz w:val="36"/>
          <w:szCs w:val="36"/>
        </w:rPr>
      </w:pPr>
    </w:p>
    <w:p>
      <w:pPr>
        <w:rPr>
          <w:b/>
          <w:sz w:val="36"/>
          <w:szCs w:val="36"/>
        </w:rPr>
      </w:pPr>
      <w:r>
        <w:rPr>
          <w:rFonts w:hint="eastAsia"/>
          <w:b/>
          <w:sz w:val="36"/>
          <w:szCs w:val="36"/>
        </w:rPr>
        <w:t>二、部门基本情况</w:t>
      </w:r>
    </w:p>
    <w:p>
      <w:pPr>
        <w:widowControl/>
        <w:spacing w:line="580" w:lineRule="exact"/>
        <w:ind w:firstLine="636"/>
        <w:jc w:val="left"/>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本单位设立1个内设机构，为上饶市地方储备粮管理办公室。</w:t>
      </w:r>
    </w:p>
    <w:p>
      <w:pPr>
        <w:widowControl/>
        <w:spacing w:line="580" w:lineRule="exact"/>
        <w:ind w:firstLine="636"/>
        <w:jc w:val="left"/>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本单位2021年年末实有人数3人，其中在职人员3人，离休人员0人，退休人员0人（不含由养老保险基金发放养老金的离退休人员）；年末其他人员0人；年末学生人数0人；由养老保险基金发放养老金的离退休人员0人。</w:t>
      </w:r>
    </w:p>
    <w:p>
      <w:pPr>
        <w:ind w:firstLine="480" w:firstLineChars="150"/>
        <w:rPr>
          <w:rFonts w:hint="eastAsia" w:ascii="仿宋_GB2312" w:hAnsi="仿宋_GB2312" w:eastAsia="仿宋_GB2312"/>
          <w:color w:val="auto"/>
          <w:sz w:val="32"/>
          <w:szCs w:val="32"/>
          <w:lang w:eastAsia="zh-CN"/>
        </w:rPr>
      </w:pPr>
    </w:p>
    <w:p>
      <w:pPr>
        <w:widowControl/>
        <w:spacing w:line="580" w:lineRule="exact"/>
        <w:jc w:val="center"/>
        <w:rPr>
          <w:rFonts w:ascii="仿宋_GB2312" w:eastAsia="仿宋_GB2312"/>
          <w:b/>
          <w:sz w:val="32"/>
          <w:szCs w:val="30"/>
        </w:rPr>
      </w:pPr>
      <w:r>
        <w:rPr>
          <w:rFonts w:hint="eastAsia" w:ascii="仿宋_GB2312" w:eastAsia="仿宋_GB2312" w:cs="宋体"/>
          <w:b/>
          <w:kern w:val="0"/>
          <w:sz w:val="32"/>
          <w:szCs w:val="32"/>
        </w:rPr>
        <w:t>第二部分</w:t>
      </w:r>
      <w:r>
        <w:rPr>
          <w:rFonts w:hint="eastAsia" w:ascii="仿宋_GB2312" w:eastAsia="仿宋_GB2312" w:cs="宋体"/>
          <w:b/>
          <w:kern w:val="0"/>
          <w:sz w:val="32"/>
          <w:szCs w:val="32"/>
          <w:lang w:val="en-US" w:eastAsia="zh-CN"/>
        </w:rPr>
        <w:t xml:space="preserve">  </w:t>
      </w:r>
      <w:r>
        <w:rPr>
          <w:rFonts w:hint="eastAsia" w:ascii="仿宋_GB2312" w:eastAsia="仿宋_GB2312" w:cs="宋体"/>
          <w:b/>
          <w:kern w:val="0"/>
          <w:sz w:val="32"/>
          <w:szCs w:val="32"/>
          <w:lang w:eastAsia="zh-CN"/>
        </w:rPr>
        <w:t>上饶市地方储备粮管理办公室</w:t>
      </w:r>
      <w:r>
        <w:rPr>
          <w:rFonts w:hint="eastAsia" w:ascii="仿宋_GB2312" w:eastAsia="仿宋_GB2312"/>
          <w:b/>
          <w:sz w:val="32"/>
          <w:szCs w:val="30"/>
        </w:rPr>
        <w:t>202</w:t>
      </w:r>
      <w:r>
        <w:rPr>
          <w:rFonts w:hint="eastAsia" w:ascii="仿宋_GB2312" w:eastAsia="仿宋_GB2312"/>
          <w:b/>
          <w:sz w:val="32"/>
          <w:szCs w:val="30"/>
          <w:lang w:val="en-US" w:eastAsia="zh-CN"/>
        </w:rPr>
        <w:t>2</w:t>
      </w:r>
      <w:r>
        <w:rPr>
          <w:rFonts w:hint="eastAsia" w:ascii="仿宋_GB2312" w:eastAsia="仿宋_GB2312"/>
          <w:b/>
          <w:sz w:val="32"/>
          <w:szCs w:val="30"/>
        </w:rPr>
        <w:t>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eastAsia="楷体_GB2312"/>
          <w:b/>
          <w:sz w:val="32"/>
          <w:szCs w:val="30"/>
        </w:rPr>
      </w:pPr>
      <w:r>
        <w:rPr>
          <w:rFonts w:hint="eastAsia" w:ascii="楷体_GB2312" w:eastAsia="楷体_GB2312"/>
          <w:b/>
          <w:sz w:val="32"/>
          <w:szCs w:val="30"/>
        </w:rPr>
        <w:t>一、202</w:t>
      </w:r>
      <w:r>
        <w:rPr>
          <w:rFonts w:hint="eastAsia" w:ascii="楷体_GB2312" w:eastAsia="楷体_GB2312"/>
          <w:b/>
          <w:sz w:val="32"/>
          <w:szCs w:val="30"/>
          <w:lang w:val="en-US" w:eastAsia="zh-CN"/>
        </w:rPr>
        <w:t>2</w:t>
      </w:r>
      <w:r>
        <w:rPr>
          <w:rFonts w:hint="eastAsia" w:ascii="楷体_GB2312" w:eastAsia="楷体_GB2312"/>
          <w:b/>
          <w:sz w:val="32"/>
          <w:szCs w:val="30"/>
        </w:rPr>
        <w:t>年部门预算收支情况说明</w:t>
      </w:r>
    </w:p>
    <w:p>
      <w:pPr>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 xml:space="preserve">   </w:t>
      </w:r>
      <w:r>
        <w:rPr>
          <w:rStyle w:val="7"/>
          <w:rFonts w:hint="eastAsia" w:ascii="宋体" w:hAnsi="宋体"/>
          <w:b/>
          <w:sz w:val="32"/>
          <w:szCs w:val="32"/>
        </w:rPr>
        <w:t>(一)收入预算情况</w:t>
      </w:r>
    </w:p>
    <w:p>
      <w:pPr>
        <w:widowControl/>
        <w:spacing w:line="580" w:lineRule="exact"/>
        <w:ind w:firstLine="636"/>
        <w:jc w:val="left"/>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2022年上饶市地方储备粮管理办公室收入预算总额为30.84万元，其中：财政拨款收入30.84万元。较2021年减少了18.02万元，减少了36.88%，主要原因是：减少了人员支出和奖金支出。</w:t>
      </w:r>
    </w:p>
    <w:p>
      <w:pPr>
        <w:ind w:firstLine="643" w:firstLineChars="200"/>
        <w:rPr>
          <w:rStyle w:val="7"/>
          <w:rFonts w:hint="eastAsia" w:ascii="宋体" w:hAnsi="宋体"/>
          <w:b/>
          <w:sz w:val="32"/>
          <w:szCs w:val="32"/>
        </w:rPr>
      </w:pPr>
      <w:r>
        <w:rPr>
          <w:rStyle w:val="7"/>
          <w:rFonts w:hint="eastAsia" w:ascii="宋体" w:hAnsi="宋体"/>
          <w:b/>
          <w:sz w:val="32"/>
          <w:szCs w:val="32"/>
        </w:rPr>
        <w:t>(二)支出预算情况</w:t>
      </w:r>
    </w:p>
    <w:p>
      <w:pPr>
        <w:widowControl/>
        <w:spacing w:line="580" w:lineRule="exact"/>
        <w:ind w:firstLine="636"/>
        <w:jc w:val="left"/>
        <w:rPr>
          <w:rFonts w:hint="default"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2022年上饶市地方储备粮管理办公室支出预算总额为30.84万元，较2021年减少了18.02万元，减少了36.88%，主要原因是：减少了人员支出和奖金支出。</w:t>
      </w:r>
    </w:p>
    <w:p>
      <w:pPr>
        <w:widowControl/>
        <w:spacing w:line="580" w:lineRule="exact"/>
        <w:ind w:firstLine="636"/>
        <w:jc w:val="left"/>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其中：按支出项目类别划分：基本支出30.84万元，其中：工资福利支出29.52万元，商品和服务支出1.32万元。</w:t>
      </w:r>
    </w:p>
    <w:p>
      <w:pPr>
        <w:ind w:firstLine="643" w:firstLineChars="200"/>
        <w:rPr>
          <w:rStyle w:val="7"/>
        </w:rPr>
      </w:pPr>
      <w:r>
        <w:rPr>
          <w:rStyle w:val="7"/>
          <w:rFonts w:hint="eastAsia" w:ascii="宋体" w:hAnsi="宋体"/>
          <w:b/>
          <w:sz w:val="32"/>
          <w:szCs w:val="32"/>
        </w:rPr>
        <w:t>(三)财政拨款支出情况</w:t>
      </w:r>
    </w:p>
    <w:p>
      <w:pPr>
        <w:widowControl/>
        <w:spacing w:line="580" w:lineRule="exact"/>
        <w:ind w:firstLine="636"/>
        <w:jc w:val="left"/>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2022年上饶市地方储备粮管理办公室支出预算总额为30.84万元，其中：按支出项目类别划分：基本支出30.84万元，其中：工资福利支出29.52万元，商品和服务支出1.32万元。较2021年减少了18.02万元，减少了36.88%，主要原因是：减少了人员支出和奖金支出。</w:t>
      </w:r>
    </w:p>
    <w:p>
      <w:pPr>
        <w:ind w:firstLine="643" w:firstLineChars="200"/>
        <w:rPr>
          <w:rStyle w:val="7"/>
          <w:rFonts w:ascii="宋体" w:hAnsi="宋体"/>
          <w:b/>
          <w:sz w:val="32"/>
          <w:szCs w:val="32"/>
        </w:rPr>
      </w:pPr>
      <w:r>
        <w:rPr>
          <w:rStyle w:val="7"/>
          <w:rFonts w:hint="eastAsia" w:ascii="宋体" w:hAnsi="宋体"/>
          <w:b/>
          <w:sz w:val="32"/>
          <w:szCs w:val="32"/>
        </w:rPr>
        <w:t>(</w:t>
      </w:r>
      <w:r>
        <w:rPr>
          <w:rStyle w:val="7"/>
          <w:rFonts w:hint="eastAsia" w:ascii="宋体" w:hAnsi="宋体"/>
          <w:b/>
          <w:sz w:val="32"/>
          <w:szCs w:val="32"/>
          <w:lang w:eastAsia="zh-CN"/>
        </w:rPr>
        <w:t>四</w:t>
      </w:r>
      <w:r>
        <w:rPr>
          <w:rStyle w:val="7"/>
          <w:rFonts w:hint="eastAsia" w:ascii="宋体" w:hAnsi="宋体"/>
          <w:b/>
          <w:sz w:val="32"/>
          <w:szCs w:val="32"/>
        </w:rPr>
        <w:t>)政府性基金情况</w:t>
      </w:r>
    </w:p>
    <w:p>
      <w:pPr>
        <w:widowControl/>
        <w:spacing w:line="580" w:lineRule="exact"/>
        <w:ind w:firstLine="636"/>
        <w:jc w:val="left"/>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没有使用政府性基金预算拨款安排的支出。</w:t>
      </w:r>
    </w:p>
    <w:p>
      <w:pPr>
        <w:ind w:firstLine="643" w:firstLineChars="200"/>
        <w:rPr>
          <w:rFonts w:ascii="仿宋" w:hAnsi="仿宋" w:eastAsia="仿宋" w:cs="仿宋"/>
          <w:b/>
          <w:color w:val="000000"/>
          <w:kern w:val="0"/>
          <w:sz w:val="32"/>
          <w:szCs w:val="32"/>
          <w:shd w:val="clear" w:color="auto" w:fill="FFFFFF"/>
        </w:rPr>
      </w:pPr>
      <w:r>
        <w:rPr>
          <w:rStyle w:val="7"/>
          <w:rFonts w:hint="eastAsia" w:ascii="宋体" w:hAnsi="宋体"/>
          <w:b/>
          <w:color w:val="000000"/>
          <w:sz w:val="32"/>
          <w:szCs w:val="32"/>
        </w:rPr>
        <w:t>(五)机关运行经费等重要事项的说明</w:t>
      </w:r>
    </w:p>
    <w:p>
      <w:pPr>
        <w:widowControl/>
        <w:spacing w:line="580" w:lineRule="exact"/>
        <w:ind w:firstLine="636"/>
        <w:jc w:val="left"/>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2022年部门本级及下属参公单位机关运行费预算30.84万元，比2021年预算降低18.02万元，下降36.88%。</w:t>
      </w:r>
    </w:p>
    <w:p>
      <w:pPr>
        <w:widowControl/>
        <w:spacing w:line="580" w:lineRule="exact"/>
        <w:ind w:firstLine="636"/>
        <w:jc w:val="left"/>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Style w:val="7"/>
          <w:rFonts w:ascii="宋体" w:hAnsi="宋体"/>
          <w:b/>
          <w:sz w:val="32"/>
          <w:szCs w:val="32"/>
        </w:rPr>
      </w:pPr>
      <w:r>
        <w:rPr>
          <w:rStyle w:val="7"/>
          <w:rFonts w:hint="eastAsia" w:ascii="宋体" w:hAnsi="宋体"/>
          <w:b/>
          <w:sz w:val="32"/>
          <w:szCs w:val="32"/>
        </w:rPr>
        <w:t>(六)政府采购情况</w:t>
      </w:r>
    </w:p>
    <w:p>
      <w:pPr>
        <w:pStyle w:val="6"/>
        <w:spacing w:line="600" w:lineRule="atLeast"/>
        <w:ind w:firstLine="600" w:firstLineChars="200"/>
        <w:rPr>
          <w:rFonts w:hint="eastAsia" w:ascii="仿宋_GB2312" w:hAnsi="仿宋_GB2312" w:eastAsia="仿宋_GB2312" w:cs="Times New Roman"/>
          <w:kern w:val="0"/>
          <w:sz w:val="30"/>
          <w:szCs w:val="30"/>
          <w:lang w:val="en-US" w:eastAsia="zh-CN" w:bidi="ar-SA"/>
        </w:rPr>
      </w:pPr>
      <w:r>
        <w:rPr>
          <w:rFonts w:hint="eastAsia" w:ascii="仿宋_GB2312" w:hAnsi="仿宋_GB2312" w:eastAsia="仿宋_GB2312" w:cs="Times New Roman"/>
          <w:kern w:val="0"/>
          <w:sz w:val="30"/>
          <w:szCs w:val="30"/>
          <w:lang w:val="en-US" w:eastAsia="zh-CN" w:bidi="ar-SA"/>
        </w:rPr>
        <w:t>本单位2022年度政府采购支出总额0万元，其中：政府采购货物支出0万元、政府采购工程支出0万元、政府采购服务支出0万元。授予中小企业合同金额0万元，占政府采购支出总额的0%，其中：授予小微企业合同金额0万元，占政府采购支出总额的0%；货物采购授予中小企业合同金额占货物支出金额的0%，工程采购授予中小企业合同金额占工程支出金额的0%，服务采购授予中小企业合同金额占服务支出金额的0%。（单位公开的政府采购金额的计算口径为：本单位纳入2022年单位预算范围的各项政府采购支出金额之和）</w:t>
      </w:r>
    </w:p>
    <w:p>
      <w:pPr>
        <w:ind w:firstLine="643" w:firstLineChars="200"/>
        <w:rPr>
          <w:rStyle w:val="7"/>
          <w:rFonts w:ascii="宋体" w:hAnsi="宋体"/>
          <w:b/>
          <w:sz w:val="32"/>
          <w:szCs w:val="32"/>
        </w:rPr>
      </w:pPr>
      <w:r>
        <w:rPr>
          <w:rStyle w:val="7"/>
          <w:rFonts w:hint="eastAsia" w:ascii="宋体" w:hAnsi="宋体"/>
          <w:b/>
          <w:sz w:val="32"/>
          <w:szCs w:val="32"/>
        </w:rPr>
        <w:t>(七)国有资产占有使用情况</w:t>
      </w:r>
    </w:p>
    <w:p>
      <w:pPr>
        <w:rPr>
          <w:rStyle w:val="7"/>
          <w:rFonts w:ascii="宋体" w:hAnsi="宋体"/>
          <w:sz w:val="32"/>
          <w:szCs w:val="32"/>
        </w:rPr>
      </w:pPr>
      <w:r>
        <w:rPr>
          <w:rStyle w:val="7"/>
          <w:rFonts w:hint="eastAsia" w:ascii="宋体" w:hAnsi="宋体"/>
          <w:b/>
          <w:sz w:val="32"/>
          <w:szCs w:val="32"/>
        </w:rPr>
        <w:t xml:space="preserve">   </w:t>
      </w:r>
      <w:r>
        <w:rPr>
          <w:rStyle w:val="7"/>
          <w:rFonts w:hint="eastAsia" w:ascii="宋体" w:hAnsi="宋体"/>
          <w:b/>
          <w:sz w:val="32"/>
          <w:szCs w:val="32"/>
          <w:lang w:val="en-US" w:eastAsia="zh-CN"/>
        </w:rPr>
        <w:t xml:space="preserve"> </w:t>
      </w:r>
      <w:bookmarkStart w:id="0" w:name="_GoBack"/>
      <w:bookmarkEnd w:id="0"/>
      <w:r>
        <w:rPr>
          <w:rFonts w:hint="eastAsia" w:ascii="仿宋_GB2312" w:hAnsi="仿宋_GB2312" w:eastAsia="仿宋_GB2312"/>
          <w:kern w:val="0"/>
          <w:sz w:val="30"/>
          <w:szCs w:val="30"/>
        </w:rPr>
        <w:t>本</w:t>
      </w:r>
      <w:r>
        <w:rPr>
          <w:rFonts w:hint="eastAsia" w:ascii="仿宋_GB2312" w:hAnsi="仿宋_GB2312" w:eastAsia="仿宋_GB2312"/>
          <w:kern w:val="0"/>
          <w:sz w:val="30"/>
          <w:szCs w:val="30"/>
          <w:lang w:val="en-US" w:eastAsia="zh-CN"/>
        </w:rPr>
        <w:t>单位无</w:t>
      </w:r>
      <w:r>
        <w:rPr>
          <w:rFonts w:hint="eastAsia" w:ascii="仿宋_GB2312" w:hAnsi="仿宋_GB2312" w:eastAsia="仿宋_GB2312"/>
          <w:kern w:val="0"/>
          <w:sz w:val="30"/>
          <w:szCs w:val="30"/>
        </w:rPr>
        <w:t>国有资产占用情况</w:t>
      </w:r>
      <w:r>
        <w:rPr>
          <w:rFonts w:hint="eastAsia" w:ascii="仿宋_GB2312" w:hAnsi="仿宋_GB2312" w:eastAsia="仿宋_GB2312"/>
          <w:kern w:val="0"/>
          <w:sz w:val="30"/>
          <w:szCs w:val="30"/>
          <w:lang w:eastAsia="zh-CN"/>
        </w:rPr>
        <w:t>。</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${page922554360.ds431280478_BAS_V_SDWJBXXB01_BM_NLZ_ZFZQYCSYS}</w:instrText>
      </w:r>
      <w:r>
        <w:rPr>
          <w:rFonts w:ascii="Adobe 仿宋 Std R" w:hAnsi="Adobe 仿宋 Std R" w:eastAsia="Adobe 仿宋 Std R"/>
          <w:sz w:val="32"/>
          <w:szCs w:val="32"/>
        </w:rPr>
        <w:fldChar w:fldCharType="end"/>
      </w:r>
      <w:r>
        <w:rPr>
          <w:rFonts w:ascii="Adobe 仿宋 Std R" w:hAnsi="Adobe 仿宋 Std R" w:eastAsia="Adobe 仿宋 Std R"/>
        </w:rPr>
        <w:t xml:space="preserve"> </w:t>
      </w:r>
    </w:p>
    <w:p>
      <w:pPr>
        <w:ind w:firstLine="643" w:firstLineChars="200"/>
        <w:rPr>
          <w:rStyle w:val="7"/>
          <w:rFonts w:hint="eastAsia" w:ascii="宋体" w:hAnsi="宋体"/>
          <w:b/>
          <w:color w:val="000000"/>
          <w:sz w:val="32"/>
          <w:szCs w:val="32"/>
        </w:rPr>
      </w:pPr>
      <w:r>
        <w:rPr>
          <w:rStyle w:val="7"/>
          <w:rFonts w:hint="eastAsia" w:ascii="宋体" w:hAnsi="宋体"/>
          <w:b/>
          <w:color w:val="000000"/>
          <w:sz w:val="32"/>
          <w:szCs w:val="32"/>
        </w:rPr>
        <w:t>(八)一级项目绩效目标设置情况</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根据预算绩效管理要求，我</w:t>
      </w:r>
      <w:r>
        <w:rPr>
          <w:rFonts w:hint="eastAsia" w:ascii="仿宋_GB2312" w:hAnsi="仿宋_GB2312" w:eastAsia="仿宋_GB2312" w:cs="仿宋_GB2312"/>
          <w:color w:val="auto"/>
          <w:kern w:val="0"/>
          <w:sz w:val="30"/>
          <w:szCs w:val="30"/>
          <w:lang w:val="en-US" w:eastAsia="zh-CN"/>
        </w:rPr>
        <w:t>单位</w:t>
      </w:r>
      <w:r>
        <w:rPr>
          <w:rFonts w:hint="eastAsia" w:ascii="仿宋_GB2312" w:hAnsi="仿宋_GB2312" w:eastAsia="仿宋_GB2312" w:cs="仿宋_GB2312"/>
          <w:color w:val="auto"/>
          <w:kern w:val="0"/>
          <w:sz w:val="30"/>
          <w:szCs w:val="30"/>
        </w:rPr>
        <w:t>组织对</w:t>
      </w:r>
      <w:r>
        <w:rPr>
          <w:rFonts w:hint="eastAsia" w:ascii="仿宋_GB2312" w:hAnsi="仿宋_GB2312" w:eastAsia="仿宋_GB2312" w:cs="仿宋_GB2312"/>
          <w:color w:val="auto"/>
          <w:kern w:val="0"/>
          <w:sz w:val="30"/>
          <w:szCs w:val="30"/>
          <w:lang w:val="en-US" w:eastAsia="zh-CN"/>
        </w:rPr>
        <w:t>纳入</w:t>
      </w:r>
      <w:r>
        <w:rPr>
          <w:rFonts w:ascii="仿宋_GB2312" w:hAnsi="仿宋_GB2312" w:eastAsia="仿宋_GB2312" w:cs="仿宋_GB2312"/>
          <w:color w:val="auto"/>
          <w:kern w:val="0"/>
          <w:sz w:val="30"/>
          <w:szCs w:val="30"/>
        </w:rPr>
        <w:t>20</w:t>
      </w:r>
      <w:r>
        <w:rPr>
          <w:rFonts w:hint="eastAsia" w:ascii="仿宋_GB2312" w:hAnsi="仿宋_GB2312" w:eastAsia="仿宋_GB2312" w:cs="仿宋_GB2312"/>
          <w:color w:val="auto"/>
          <w:kern w:val="0"/>
          <w:sz w:val="30"/>
          <w:szCs w:val="30"/>
        </w:rPr>
        <w:t>2</w:t>
      </w: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kern w:val="0"/>
          <w:sz w:val="30"/>
          <w:szCs w:val="30"/>
        </w:rPr>
        <w:t>年度</w:t>
      </w:r>
      <w:r>
        <w:rPr>
          <w:rFonts w:hint="eastAsia" w:ascii="仿宋_GB2312" w:hAnsi="仿宋_GB2312" w:eastAsia="仿宋_GB2312" w:cs="仿宋_GB2312"/>
          <w:color w:val="auto"/>
          <w:kern w:val="0"/>
          <w:sz w:val="30"/>
          <w:szCs w:val="30"/>
          <w:lang w:val="en-US" w:eastAsia="zh-CN"/>
        </w:rPr>
        <w:t>部门预算范围的0个一级项目</w:t>
      </w:r>
      <w:r>
        <w:rPr>
          <w:rFonts w:hint="eastAsia" w:ascii="仿宋_GB2312" w:hAnsi="仿宋_GB2312" w:eastAsia="仿宋_GB2312" w:cs="仿宋_GB2312"/>
          <w:color w:val="auto"/>
          <w:kern w:val="0"/>
          <w:sz w:val="30"/>
          <w:szCs w:val="30"/>
        </w:rPr>
        <w:t>全面开展绩效自评，共涉及资金</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万元，占项目支出总额的</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 xml:space="preserve">%。    </w:t>
      </w:r>
    </w:p>
    <w:p>
      <w:pPr>
        <w:numPr>
          <w:ilvl w:val="0"/>
          <w:numId w:val="0"/>
        </w:numPr>
        <w:ind w:firstLine="643" w:firstLineChars="200"/>
        <w:rPr>
          <w:rStyle w:val="7"/>
          <w:rFonts w:ascii="宋体" w:hAnsi="宋体"/>
          <w:b/>
          <w:color w:val="000000"/>
          <w:sz w:val="32"/>
          <w:szCs w:val="32"/>
        </w:rPr>
      </w:pPr>
      <w:r>
        <w:rPr>
          <w:rStyle w:val="7"/>
          <w:rFonts w:hint="eastAsia" w:ascii="宋体" w:hAnsi="宋体"/>
          <w:b/>
          <w:color w:val="000000"/>
          <w:sz w:val="32"/>
          <w:szCs w:val="32"/>
          <w:lang w:val="en-US" w:eastAsia="zh-CN"/>
        </w:rPr>
        <w:t>(九)</w:t>
      </w:r>
      <w:r>
        <w:rPr>
          <w:rStyle w:val="7"/>
          <w:rFonts w:hint="eastAsia" w:ascii="宋体" w:hAnsi="宋体"/>
          <w:b/>
          <w:color w:val="000000"/>
          <w:sz w:val="32"/>
          <w:szCs w:val="32"/>
        </w:rPr>
        <w:t>一级项目中各二级项目情况说明（部门本级）</w:t>
      </w:r>
    </w:p>
    <w:p>
      <w:pPr>
        <w:autoSpaceDE w:val="0"/>
        <w:autoSpaceDN w:val="0"/>
        <w:adjustRightInd w:val="0"/>
        <w:spacing w:line="360" w:lineRule="auto"/>
        <w:ind w:firstLine="600" w:firstLineChars="200"/>
        <w:jc w:val="left"/>
        <w:rPr>
          <w:rFonts w:hint="eastAsia" w:ascii="楷体_GB2312" w:eastAsia="楷体_GB2312" w:cs="宋体"/>
          <w:b/>
          <w:kern w:val="0"/>
          <w:sz w:val="32"/>
          <w:szCs w:val="32"/>
        </w:rPr>
      </w:pPr>
      <w:r>
        <w:rPr>
          <w:rFonts w:hint="eastAsia" w:ascii="仿宋_GB2312" w:hAnsi="仿宋_GB2312" w:eastAsia="仿宋_GB2312" w:cs="仿宋_GB2312"/>
          <w:color w:val="auto"/>
          <w:kern w:val="0"/>
          <w:sz w:val="30"/>
          <w:szCs w:val="30"/>
        </w:rPr>
        <w:t>2022年实行绩效目标管理</w:t>
      </w:r>
      <w:r>
        <w:rPr>
          <w:rFonts w:hint="eastAsia" w:ascii="仿宋_GB2312" w:hAnsi="仿宋_GB2312" w:eastAsia="仿宋_GB2312" w:cs="仿宋_GB2312"/>
          <w:color w:val="auto"/>
          <w:kern w:val="0"/>
          <w:sz w:val="30"/>
          <w:szCs w:val="30"/>
          <w:lang w:eastAsia="zh-CN"/>
        </w:rPr>
        <w:t>的</w:t>
      </w:r>
      <w:r>
        <w:rPr>
          <w:rFonts w:hint="eastAsia" w:ascii="仿宋_GB2312" w:hAnsi="仿宋_GB2312" w:eastAsia="仿宋_GB2312" w:cs="仿宋_GB2312"/>
          <w:color w:val="auto"/>
          <w:kern w:val="0"/>
          <w:sz w:val="30"/>
          <w:szCs w:val="30"/>
        </w:rPr>
        <w:t>二级项目</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个，涉及资金</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万元；纳入绩效目标批复试点的项目</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个，涉及资金</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w:t>
      </w:r>
    </w:p>
    <w:p>
      <w:pPr>
        <w:widowControl/>
        <w:spacing w:line="580" w:lineRule="exact"/>
        <w:ind w:firstLine="643" w:firstLineChars="200"/>
        <w:jc w:val="left"/>
        <w:rPr>
          <w:rFonts w:hint="eastAsia" w:ascii="楷体_GB2312" w:eastAsia="楷体_GB2312" w:cs="宋体"/>
          <w:b/>
          <w:kern w:val="0"/>
          <w:sz w:val="32"/>
          <w:szCs w:val="32"/>
        </w:rPr>
      </w:pPr>
    </w:p>
    <w:p>
      <w:pPr>
        <w:widowControl/>
        <w:spacing w:line="580" w:lineRule="exact"/>
        <w:ind w:firstLine="643" w:firstLineChars="200"/>
        <w:jc w:val="left"/>
        <w:rPr>
          <w:rFonts w:ascii="楷体_GB2312" w:eastAsia="楷体_GB2312"/>
          <w:b/>
          <w:sz w:val="32"/>
          <w:szCs w:val="30"/>
        </w:rPr>
      </w:pPr>
      <w:r>
        <w:rPr>
          <w:rFonts w:hint="eastAsia" w:ascii="楷体_GB2312" w:eastAsia="楷体_GB2312" w:cs="宋体"/>
          <w:b/>
          <w:kern w:val="0"/>
          <w:sz w:val="32"/>
          <w:szCs w:val="32"/>
        </w:rPr>
        <w:t>二、</w:t>
      </w:r>
      <w:r>
        <w:rPr>
          <w:rFonts w:hint="eastAsia" w:ascii="楷体_GB2312" w:eastAsia="楷体_GB2312"/>
          <w:b/>
          <w:sz w:val="32"/>
          <w:szCs w:val="30"/>
        </w:rPr>
        <w:t>202</w:t>
      </w:r>
      <w:r>
        <w:rPr>
          <w:rFonts w:hint="eastAsia" w:ascii="楷体_GB2312" w:eastAsia="楷体_GB2312"/>
          <w:b/>
          <w:sz w:val="32"/>
          <w:szCs w:val="30"/>
          <w:lang w:val="en-US" w:eastAsia="zh-CN"/>
        </w:rPr>
        <w:t>2</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本</w:t>
      </w:r>
      <w:r>
        <w:rPr>
          <w:rFonts w:hint="eastAsia" w:ascii="仿宋_GB2312" w:hAnsi="仿宋_GB2312" w:eastAsia="仿宋_GB2312" w:cs="仿宋_GB2312"/>
          <w:color w:val="auto"/>
          <w:kern w:val="0"/>
          <w:sz w:val="30"/>
          <w:szCs w:val="30"/>
          <w:lang w:val="en-US" w:eastAsia="zh-CN"/>
        </w:rPr>
        <w:t>单位</w:t>
      </w:r>
      <w:r>
        <w:rPr>
          <w:rFonts w:hint="eastAsia" w:ascii="仿宋_GB2312" w:hAnsi="仿宋_GB2312" w:eastAsia="仿宋_GB2312" w:cs="仿宋_GB2312"/>
          <w:color w:val="auto"/>
          <w:kern w:val="0"/>
          <w:sz w:val="30"/>
          <w:szCs w:val="30"/>
        </w:rPr>
        <w:t>202</w:t>
      </w: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kern w:val="0"/>
          <w:sz w:val="30"/>
          <w:szCs w:val="30"/>
        </w:rPr>
        <w:t>年度一般公共预算财政拨款“三公”经费支出年初预算数为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万元，决算数为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万元，完成预算的</w:t>
      </w:r>
      <w:r>
        <w:rPr>
          <w:rFonts w:hint="eastAsia" w:ascii="仿宋_GB2312" w:hAnsi="仿宋_GB2312" w:eastAsia="仿宋_GB2312" w:cs="仿宋_GB2312"/>
          <w:color w:val="auto"/>
          <w:kern w:val="0"/>
          <w:sz w:val="30"/>
          <w:szCs w:val="30"/>
          <w:lang w:val="en-US" w:eastAsia="zh-CN"/>
        </w:rPr>
        <w:t>100</w:t>
      </w:r>
      <w:r>
        <w:rPr>
          <w:rFonts w:hint="eastAsia" w:ascii="仿宋_GB2312" w:hAnsi="仿宋_GB2312" w:eastAsia="仿宋_GB2312" w:cs="仿宋_GB2312"/>
          <w:color w:val="auto"/>
          <w:kern w:val="0"/>
          <w:sz w:val="30"/>
          <w:szCs w:val="30"/>
        </w:rPr>
        <w:t>%，决算数较20</w:t>
      </w:r>
      <w:r>
        <w:rPr>
          <w:rFonts w:hint="eastAsia" w:ascii="仿宋_GB2312" w:hAnsi="仿宋_GB2312" w:eastAsia="仿宋_GB2312" w:cs="仿宋_GB2312"/>
          <w:color w:val="auto"/>
          <w:kern w:val="0"/>
          <w:sz w:val="30"/>
          <w:szCs w:val="30"/>
          <w:lang w:val="en-US" w:eastAsia="zh-CN"/>
        </w:rPr>
        <w:t>21</w:t>
      </w:r>
      <w:r>
        <w:rPr>
          <w:rFonts w:hint="eastAsia" w:ascii="仿宋_GB2312" w:hAnsi="仿宋_GB2312" w:eastAsia="仿宋_GB2312" w:cs="仿宋_GB2312"/>
          <w:color w:val="auto"/>
          <w:kern w:val="0"/>
          <w:sz w:val="30"/>
          <w:szCs w:val="30"/>
        </w:rPr>
        <w:t>年增加</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万元，增长</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%，其中：</w:t>
      </w:r>
    </w:p>
    <w:p>
      <w:pPr>
        <w:autoSpaceDE w:val="0"/>
        <w:autoSpaceDN w:val="0"/>
        <w:adjustRightInd w:val="0"/>
        <w:spacing w:line="360" w:lineRule="auto"/>
        <w:ind w:firstLine="600" w:firstLineChars="200"/>
        <w:jc w:val="left"/>
        <w:rPr>
          <w:rFonts w:hint="default" w:ascii="仿宋_GB2312" w:hAnsi="仿宋_GB2312" w:eastAsia="仿宋_GB2312" w:cs="仿宋_GB2312"/>
          <w:color w:val="auto"/>
          <w:kern w:val="0"/>
          <w:sz w:val="30"/>
          <w:szCs w:val="30"/>
          <w:lang w:val="en-US"/>
        </w:rPr>
      </w:pPr>
      <w:r>
        <w:rPr>
          <w:rFonts w:hint="eastAsia" w:ascii="仿宋_GB2312" w:hAnsi="仿宋_GB2312" w:eastAsia="仿宋_GB2312" w:cs="仿宋_GB2312"/>
          <w:color w:val="auto"/>
          <w:kern w:val="0"/>
          <w:sz w:val="30"/>
          <w:szCs w:val="30"/>
        </w:rPr>
        <w:t>（一）因公出国（境）支出年初预算数为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万元，决算数为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 xml:space="preserve"> 万元，完成预算的</w:t>
      </w:r>
      <w:r>
        <w:rPr>
          <w:rFonts w:hint="eastAsia" w:ascii="仿宋_GB2312" w:hAnsi="仿宋_GB2312" w:eastAsia="仿宋_GB2312" w:cs="仿宋_GB2312"/>
          <w:color w:val="auto"/>
          <w:kern w:val="0"/>
          <w:sz w:val="30"/>
          <w:szCs w:val="30"/>
          <w:lang w:val="en-US" w:eastAsia="zh-CN"/>
        </w:rPr>
        <w:t>100</w:t>
      </w:r>
      <w:r>
        <w:rPr>
          <w:rFonts w:hint="eastAsia" w:ascii="仿宋_GB2312" w:hAnsi="仿宋_GB2312" w:eastAsia="仿宋_GB2312" w:cs="仿宋_GB2312"/>
          <w:color w:val="auto"/>
          <w:kern w:val="0"/>
          <w:sz w:val="30"/>
          <w:szCs w:val="30"/>
        </w:rPr>
        <w:t xml:space="preserve"> %，决算数较20</w:t>
      </w:r>
      <w:r>
        <w:rPr>
          <w:rFonts w:hint="eastAsia" w:ascii="仿宋_GB2312" w:hAnsi="仿宋_GB2312" w:eastAsia="仿宋_GB2312" w:cs="仿宋_GB2312"/>
          <w:color w:val="auto"/>
          <w:kern w:val="0"/>
          <w:sz w:val="30"/>
          <w:szCs w:val="30"/>
          <w:lang w:val="en-US" w:eastAsia="zh-CN"/>
        </w:rPr>
        <w:t>21</w:t>
      </w:r>
      <w:r>
        <w:rPr>
          <w:rFonts w:hint="eastAsia" w:ascii="仿宋_GB2312" w:hAnsi="仿宋_GB2312" w:eastAsia="仿宋_GB2312" w:cs="仿宋_GB2312"/>
          <w:color w:val="auto"/>
          <w:kern w:val="0"/>
          <w:sz w:val="30"/>
          <w:szCs w:val="30"/>
        </w:rPr>
        <w:t>年增加</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万元，增长</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主要原因是：无</w:t>
      </w:r>
      <w:r>
        <w:rPr>
          <w:rFonts w:hint="eastAsia" w:ascii="仿宋_GB2312" w:hAnsi="仿宋_GB2312" w:eastAsia="仿宋_GB2312" w:cs="仿宋_GB2312"/>
          <w:color w:val="auto"/>
          <w:kern w:val="0"/>
          <w:sz w:val="30"/>
          <w:szCs w:val="30"/>
        </w:rPr>
        <w:t>。决算数较年初预算数增加的主要原因是：</w:t>
      </w:r>
      <w:r>
        <w:rPr>
          <w:rFonts w:hint="eastAsia" w:ascii="仿宋_GB2312" w:hAnsi="仿宋_GB2312" w:eastAsia="仿宋_GB2312" w:cs="仿宋_GB2312"/>
          <w:color w:val="auto"/>
          <w:kern w:val="0"/>
          <w:sz w:val="30"/>
          <w:szCs w:val="30"/>
          <w:lang w:eastAsia="zh-CN"/>
        </w:rPr>
        <w:t>无</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全年安排因公出国（境）团组0个，累计0人次，主要为：</w:t>
      </w:r>
      <w:r>
        <w:rPr>
          <w:rFonts w:hint="eastAsia" w:ascii="仿宋_GB2312" w:hAnsi="仿宋_GB2312" w:eastAsia="仿宋_GB2312" w:cs="仿宋_GB2312"/>
          <w:color w:val="auto"/>
          <w:kern w:val="0"/>
          <w:sz w:val="30"/>
          <w:szCs w:val="30"/>
          <w:lang w:eastAsia="zh-CN"/>
        </w:rPr>
        <w:t>无</w:t>
      </w:r>
      <w:r>
        <w:rPr>
          <w:rFonts w:hint="eastAsia" w:ascii="仿宋_GB2312" w:hAnsi="仿宋_GB2312" w:eastAsia="仿宋_GB2312" w:cs="仿宋_GB2312"/>
          <w:color w:val="auto"/>
          <w:kern w:val="0"/>
          <w:sz w:val="30"/>
          <w:szCs w:val="30"/>
        </w:rPr>
        <w:t>。</w:t>
      </w:r>
    </w:p>
    <w:p>
      <w:pPr>
        <w:autoSpaceDE w:val="0"/>
        <w:autoSpaceDN w:val="0"/>
        <w:adjustRightInd w:val="0"/>
        <w:spacing w:line="360" w:lineRule="auto"/>
        <w:ind w:firstLine="600" w:firstLineChars="200"/>
        <w:jc w:val="left"/>
        <w:rPr>
          <w:rFonts w:hint="default"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rPr>
        <w:t>（二）公务接待费支出年初预算数为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万元，决算数为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万元，完成预算的</w:t>
      </w:r>
      <w:r>
        <w:rPr>
          <w:rFonts w:hint="eastAsia" w:ascii="仿宋_GB2312" w:hAnsi="仿宋_GB2312" w:eastAsia="仿宋_GB2312" w:cs="仿宋_GB2312"/>
          <w:color w:val="auto"/>
          <w:kern w:val="0"/>
          <w:sz w:val="30"/>
          <w:szCs w:val="30"/>
          <w:lang w:val="en-US" w:eastAsia="zh-CN"/>
        </w:rPr>
        <w:t>100</w:t>
      </w:r>
      <w:r>
        <w:rPr>
          <w:rFonts w:hint="eastAsia" w:ascii="仿宋_GB2312" w:hAnsi="仿宋_GB2312" w:eastAsia="仿宋_GB2312" w:cs="仿宋_GB2312"/>
          <w:color w:val="auto"/>
          <w:kern w:val="0"/>
          <w:sz w:val="30"/>
          <w:szCs w:val="30"/>
        </w:rPr>
        <w:t>%，决算数较20</w:t>
      </w:r>
      <w:r>
        <w:rPr>
          <w:rFonts w:hint="eastAsia" w:ascii="仿宋_GB2312" w:hAnsi="仿宋_GB2312" w:eastAsia="仿宋_GB2312" w:cs="仿宋_GB2312"/>
          <w:color w:val="auto"/>
          <w:kern w:val="0"/>
          <w:sz w:val="30"/>
          <w:szCs w:val="30"/>
          <w:lang w:val="en-US" w:eastAsia="zh-CN"/>
        </w:rPr>
        <w:t>21</w:t>
      </w:r>
      <w:r>
        <w:rPr>
          <w:rFonts w:hint="eastAsia" w:ascii="仿宋_GB2312" w:hAnsi="仿宋_GB2312" w:eastAsia="仿宋_GB2312" w:cs="仿宋_GB2312"/>
          <w:color w:val="auto"/>
          <w:kern w:val="0"/>
          <w:sz w:val="30"/>
          <w:szCs w:val="30"/>
        </w:rPr>
        <w:t>年增加</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万元，增长</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主要原因是：无</w:t>
      </w:r>
      <w:r>
        <w:rPr>
          <w:rFonts w:hint="eastAsia" w:ascii="仿宋_GB2312" w:hAnsi="仿宋_GB2312" w:eastAsia="仿宋_GB2312" w:cs="仿宋_GB2312"/>
          <w:color w:val="auto"/>
          <w:kern w:val="0"/>
          <w:sz w:val="30"/>
          <w:szCs w:val="30"/>
        </w:rPr>
        <w:t>。决算数较年初预算数增加的主要原因是：</w:t>
      </w:r>
      <w:r>
        <w:rPr>
          <w:rFonts w:hint="eastAsia" w:ascii="仿宋_GB2312" w:hAnsi="仿宋_GB2312" w:eastAsia="仿宋_GB2312" w:cs="仿宋_GB2312"/>
          <w:color w:val="auto"/>
          <w:kern w:val="0"/>
          <w:sz w:val="30"/>
          <w:szCs w:val="30"/>
          <w:lang w:eastAsia="zh-CN"/>
        </w:rPr>
        <w:t>无</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全年国内公务接待0批，累计接待0人次，其中外事接待0批，累计接待0人次，主要为：</w:t>
      </w:r>
      <w:r>
        <w:rPr>
          <w:rFonts w:hint="eastAsia" w:ascii="仿宋_GB2312" w:hAnsi="仿宋_GB2312" w:eastAsia="仿宋_GB2312" w:cs="仿宋_GB2312"/>
          <w:color w:val="auto"/>
          <w:kern w:val="0"/>
          <w:sz w:val="30"/>
          <w:szCs w:val="30"/>
          <w:lang w:eastAsia="zh-CN"/>
        </w:rPr>
        <w:t>无</w:t>
      </w:r>
      <w:r>
        <w:rPr>
          <w:rFonts w:hint="eastAsia" w:ascii="仿宋_GB2312" w:hAnsi="仿宋_GB2312" w:eastAsia="仿宋_GB2312" w:cs="仿宋_GB2312"/>
          <w:color w:val="auto"/>
          <w:kern w:val="0"/>
          <w:sz w:val="30"/>
          <w:szCs w:val="30"/>
        </w:rPr>
        <w:t>。</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（三）公务用车购置及运行维护费支出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万元，其中公务用车购置年初预算数为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万元，决算数为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万元，完成预算的</w:t>
      </w:r>
      <w:r>
        <w:rPr>
          <w:rFonts w:hint="eastAsia" w:ascii="仿宋_GB2312" w:hAnsi="仿宋_GB2312" w:eastAsia="仿宋_GB2312" w:cs="仿宋_GB2312"/>
          <w:color w:val="auto"/>
          <w:kern w:val="0"/>
          <w:sz w:val="30"/>
          <w:szCs w:val="30"/>
          <w:lang w:val="en-US" w:eastAsia="zh-CN"/>
        </w:rPr>
        <w:t>100</w:t>
      </w:r>
      <w:r>
        <w:rPr>
          <w:rFonts w:hint="eastAsia" w:ascii="仿宋_GB2312" w:hAnsi="仿宋_GB2312" w:eastAsia="仿宋_GB2312" w:cs="仿宋_GB2312"/>
          <w:color w:val="auto"/>
          <w:kern w:val="0"/>
          <w:sz w:val="30"/>
          <w:szCs w:val="30"/>
        </w:rPr>
        <w:t xml:space="preserve"> %，决算数较20</w:t>
      </w:r>
      <w:r>
        <w:rPr>
          <w:rFonts w:hint="eastAsia" w:ascii="仿宋_GB2312" w:hAnsi="仿宋_GB2312" w:eastAsia="仿宋_GB2312" w:cs="仿宋_GB2312"/>
          <w:color w:val="auto"/>
          <w:kern w:val="0"/>
          <w:sz w:val="30"/>
          <w:szCs w:val="30"/>
          <w:lang w:val="en-US" w:eastAsia="zh-CN"/>
        </w:rPr>
        <w:t>21</w:t>
      </w:r>
      <w:r>
        <w:rPr>
          <w:rFonts w:hint="eastAsia" w:ascii="仿宋_GB2312" w:hAnsi="仿宋_GB2312" w:eastAsia="仿宋_GB2312" w:cs="仿宋_GB2312"/>
          <w:color w:val="auto"/>
          <w:kern w:val="0"/>
          <w:sz w:val="30"/>
          <w:szCs w:val="30"/>
        </w:rPr>
        <w:t>年增加</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万元，增长</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主要原因是：无</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全年购置公务用车0辆</w:t>
      </w:r>
      <w:r>
        <w:rPr>
          <w:rFonts w:hint="eastAsia" w:ascii="仿宋_GB2312" w:hAnsi="仿宋_GB2312" w:eastAsia="仿宋_GB2312" w:cs="仿宋_GB2312"/>
          <w:color w:val="auto"/>
          <w:kern w:val="0"/>
          <w:sz w:val="30"/>
          <w:szCs w:val="30"/>
        </w:rPr>
        <w:t>。决算数较年初预算数增加的主要原是：</w:t>
      </w:r>
      <w:r>
        <w:rPr>
          <w:rFonts w:hint="eastAsia" w:ascii="仿宋_GB2312" w:hAnsi="仿宋_GB2312" w:eastAsia="仿宋_GB2312" w:cs="仿宋_GB2312"/>
          <w:color w:val="auto"/>
          <w:kern w:val="0"/>
          <w:sz w:val="30"/>
          <w:szCs w:val="30"/>
          <w:lang w:eastAsia="zh-CN"/>
        </w:rPr>
        <w:t>无</w:t>
      </w:r>
      <w:r>
        <w:rPr>
          <w:rFonts w:hint="eastAsia" w:ascii="仿宋_GB2312" w:hAnsi="仿宋_GB2312" w:eastAsia="仿宋_GB2312" w:cs="仿宋_GB2312"/>
          <w:color w:val="auto"/>
          <w:kern w:val="0"/>
          <w:sz w:val="30"/>
          <w:szCs w:val="30"/>
        </w:rPr>
        <w:t>；公务用车运行维护费支出年初预算数为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万元，决算数为</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万元，完成预算的</w:t>
      </w:r>
      <w:r>
        <w:rPr>
          <w:rFonts w:hint="eastAsia" w:ascii="仿宋_GB2312" w:hAnsi="仿宋_GB2312" w:eastAsia="仿宋_GB2312" w:cs="仿宋_GB2312"/>
          <w:color w:val="auto"/>
          <w:kern w:val="0"/>
          <w:sz w:val="30"/>
          <w:szCs w:val="30"/>
          <w:lang w:val="en-US" w:eastAsia="zh-CN"/>
        </w:rPr>
        <w:t>100</w:t>
      </w:r>
      <w:r>
        <w:rPr>
          <w:rFonts w:hint="eastAsia" w:ascii="仿宋_GB2312" w:hAnsi="仿宋_GB2312" w:eastAsia="仿宋_GB2312" w:cs="仿宋_GB2312"/>
          <w:color w:val="auto"/>
          <w:kern w:val="0"/>
          <w:sz w:val="30"/>
          <w:szCs w:val="30"/>
        </w:rPr>
        <w:t xml:space="preserve"> %，决算数较20</w:t>
      </w:r>
      <w:r>
        <w:rPr>
          <w:rFonts w:hint="eastAsia" w:ascii="仿宋_GB2312" w:hAnsi="仿宋_GB2312" w:eastAsia="仿宋_GB2312" w:cs="仿宋_GB2312"/>
          <w:color w:val="auto"/>
          <w:kern w:val="0"/>
          <w:sz w:val="30"/>
          <w:szCs w:val="30"/>
          <w:lang w:val="en-US" w:eastAsia="zh-CN"/>
        </w:rPr>
        <w:t>21</w:t>
      </w:r>
      <w:r>
        <w:rPr>
          <w:rFonts w:hint="eastAsia" w:ascii="仿宋_GB2312" w:hAnsi="仿宋_GB2312" w:eastAsia="仿宋_GB2312" w:cs="仿宋_GB2312"/>
          <w:color w:val="auto"/>
          <w:kern w:val="0"/>
          <w:sz w:val="30"/>
          <w:szCs w:val="30"/>
        </w:rPr>
        <w:t>年增加</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万元，增长</w:t>
      </w:r>
      <w:r>
        <w:rPr>
          <w:rFonts w:hint="eastAsia" w:ascii="仿宋_GB2312" w:hAnsi="仿宋_GB2312" w:eastAsia="仿宋_GB2312" w:cs="仿宋_GB2312"/>
          <w:color w:val="auto"/>
          <w:kern w:val="0"/>
          <w:sz w:val="30"/>
          <w:szCs w:val="30"/>
          <w:lang w:val="en-US" w:eastAsia="zh-CN"/>
        </w:rPr>
        <w:t>0</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主要原因是：无</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年末公务用车保有0辆</w:t>
      </w:r>
      <w:r>
        <w:rPr>
          <w:rFonts w:hint="eastAsia" w:ascii="仿宋_GB2312" w:hAnsi="仿宋_GB2312" w:eastAsia="仿宋_GB2312" w:cs="仿宋_GB2312"/>
          <w:color w:val="auto"/>
          <w:kern w:val="0"/>
          <w:sz w:val="30"/>
          <w:szCs w:val="30"/>
        </w:rPr>
        <w:t>。决算数较年初预算数增加的主要原因是：</w:t>
      </w:r>
      <w:r>
        <w:rPr>
          <w:rFonts w:hint="eastAsia" w:ascii="仿宋_GB2312" w:hAnsi="仿宋_GB2312" w:eastAsia="仿宋_GB2312" w:cs="仿宋_GB2312"/>
          <w:color w:val="auto"/>
          <w:kern w:val="0"/>
          <w:sz w:val="30"/>
          <w:szCs w:val="30"/>
          <w:lang w:eastAsia="zh-CN"/>
        </w:rPr>
        <w:t>无</w:t>
      </w:r>
      <w:r>
        <w:rPr>
          <w:rFonts w:hint="eastAsia" w:ascii="仿宋_GB2312" w:hAnsi="仿宋_GB2312" w:eastAsia="仿宋_GB2312" w:cs="仿宋_GB2312"/>
          <w:color w:val="auto"/>
          <w:kern w:val="0"/>
          <w:sz w:val="30"/>
          <w:szCs w:val="30"/>
        </w:rPr>
        <w:t>。</w:t>
      </w:r>
    </w:p>
    <w:p>
      <w:pPr>
        <w:ind w:firstLine="640" w:firstLineChars="200"/>
        <w:rPr>
          <w:rFonts w:ascii="Adobe 仿宋 Std R" w:hAnsi="Adobe 仿宋 Std R" w:eastAsia="Adobe 仿宋 Std R"/>
          <w:sz w:val="32"/>
          <w:szCs w:val="32"/>
        </w:rPr>
      </w:pP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${page922554360.ds481705894_ZCZB_NLZ2_XMZC301XJ}</w:instrText>
      </w:r>
      <w:r>
        <w:rPr>
          <w:rFonts w:ascii="Adobe 仿宋 Std R" w:hAnsi="Adobe 仿宋 Std R" w:eastAsia="Adobe 仿宋 Std R"/>
          <w:sz w:val="32"/>
          <w:szCs w:val="32"/>
        </w:rPr>
        <w:fldChar w:fldCharType="end"/>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${page922554360.ds481705894_ZCZB_NLZ2_XMZC302XJ}</w:instrText>
      </w:r>
      <w:r>
        <w:rPr>
          <w:rFonts w:ascii="Adobe 仿宋 Std R" w:hAnsi="Adobe 仿宋 Std R" w:eastAsia="Adobe 仿宋 Std R"/>
          <w:sz w:val="32"/>
          <w:szCs w:val="32"/>
        </w:rPr>
        <w:fldChar w:fldCharType="end"/>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${page922554360.ds481705894_ZCZB_NLZ2_XMZC303XJ}</w:instrText>
      </w:r>
      <w:r>
        <w:rPr>
          <w:rFonts w:ascii="Adobe 仿宋 Std R" w:hAnsi="Adobe 仿宋 Std R" w:eastAsia="Adobe 仿宋 Std R"/>
          <w:sz w:val="32"/>
          <w:szCs w:val="32"/>
        </w:rPr>
        <w:fldChar w:fldCharType="end"/>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${page922554360.ds481705894_ZCZB_NLZ2_XMZC307XJ}</w:instrText>
      </w:r>
      <w:r>
        <w:rPr>
          <w:rFonts w:ascii="Adobe 仿宋 Std R" w:hAnsi="Adobe 仿宋 Std R" w:eastAsia="Adobe 仿宋 Std R"/>
          <w:sz w:val="32"/>
          <w:szCs w:val="32"/>
        </w:rPr>
        <w:fldChar w:fldCharType="end"/>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${page922554360.ds481705894_ZCZB_NLZ2_XMZC309XJ}</w:instrText>
      </w:r>
      <w:r>
        <w:rPr>
          <w:rFonts w:ascii="Adobe 仿宋 Std R" w:hAnsi="Adobe 仿宋 Std R" w:eastAsia="Adobe 仿宋 Std R"/>
          <w:sz w:val="32"/>
          <w:szCs w:val="32"/>
        </w:rPr>
        <w:fldChar w:fldCharType="end"/>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${page922554360.ds481705894_ZCZB_NLZ2_XMZC310XJ}</w:instrText>
      </w:r>
      <w:r>
        <w:rPr>
          <w:rFonts w:ascii="Adobe 仿宋 Std R" w:hAnsi="Adobe 仿宋 Std R" w:eastAsia="Adobe 仿宋 Std R"/>
          <w:sz w:val="32"/>
          <w:szCs w:val="32"/>
        </w:rPr>
        <w:fldChar w:fldCharType="end"/>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${page922554360.ds481705894_ZCZB_NLZ2_XMZC311XJ}</w:instrText>
      </w:r>
      <w:r>
        <w:rPr>
          <w:rFonts w:ascii="Adobe 仿宋 Std R" w:hAnsi="Adobe 仿宋 Std R" w:eastAsia="Adobe 仿宋 Std R"/>
          <w:sz w:val="32"/>
          <w:szCs w:val="32"/>
        </w:rPr>
        <w:fldChar w:fldCharType="end"/>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${page922554360.ds481705894_ZCZB_NLZ2_XMZC312XJ}</w:instrText>
      </w:r>
      <w:r>
        <w:rPr>
          <w:rFonts w:ascii="Adobe 仿宋 Std R" w:hAnsi="Adobe 仿宋 Std R" w:eastAsia="Adobe 仿宋 Std R"/>
          <w:sz w:val="32"/>
          <w:szCs w:val="32"/>
        </w:rPr>
        <w:fldChar w:fldCharType="end"/>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${page922554360.ds481705894_ZCZB_NLZ2_XMZC313XJ}</w:instrText>
      </w:r>
      <w:r>
        <w:rPr>
          <w:rFonts w:ascii="Adobe 仿宋 Std R" w:hAnsi="Adobe 仿宋 Std R" w:eastAsia="Adobe 仿宋 Std R"/>
          <w:sz w:val="32"/>
          <w:szCs w:val="32"/>
        </w:rPr>
        <w:fldChar w:fldCharType="end"/>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${page922554360.ds481705894_ZCZB_NLZ2_XMZC399XJ}</w:instrText>
      </w:r>
      <w:r>
        <w:rPr>
          <w:rFonts w:ascii="Adobe 仿宋 Std R" w:hAnsi="Adobe 仿宋 Std R" w:eastAsia="Adobe 仿宋 Std R"/>
          <w:sz w:val="32"/>
          <w:szCs w:val="32"/>
        </w:rPr>
        <w:fldChar w:fldCharType="end"/>
      </w:r>
    </w:p>
    <w:p>
      <w:pPr>
        <w:ind w:firstLine="475" w:firstLineChars="148"/>
        <w:jc w:val="center"/>
        <w:rPr>
          <w:rFonts w:ascii="仿宋_GB2312" w:eastAsia="仿宋_GB2312"/>
          <w:sz w:val="32"/>
          <w:szCs w:val="30"/>
        </w:rPr>
      </w:pPr>
      <w:r>
        <w:rPr>
          <w:rFonts w:hint="eastAsia" w:ascii="仿宋_GB2312" w:eastAsia="仿宋_GB2312"/>
          <w:b/>
          <w:sz w:val="32"/>
          <w:szCs w:val="30"/>
        </w:rPr>
        <w:t>第三部分</w:t>
      </w:r>
      <w:r>
        <w:rPr>
          <w:rFonts w:hint="eastAsia" w:ascii="仿宋_GB2312" w:eastAsia="仿宋_GB2312"/>
          <w:b/>
          <w:sz w:val="32"/>
          <w:szCs w:val="30"/>
          <w:lang w:val="en-US" w:eastAsia="zh-CN"/>
        </w:rPr>
        <w:t xml:space="preserve">  </w:t>
      </w:r>
      <w:r>
        <w:rPr>
          <w:rFonts w:hint="eastAsia" w:ascii="仿宋_GB2312" w:eastAsia="仿宋_GB2312"/>
          <w:b/>
          <w:sz w:val="32"/>
          <w:szCs w:val="30"/>
          <w:lang w:eastAsia="zh-CN"/>
        </w:rPr>
        <w:t>上饶市地方储备粮管理办公室</w:t>
      </w:r>
      <w:r>
        <w:rPr>
          <w:rFonts w:hint="eastAsia" w:ascii="仿宋_GB2312" w:eastAsia="仿宋_GB2312"/>
          <w:b/>
          <w:sz w:val="32"/>
          <w:szCs w:val="30"/>
        </w:rPr>
        <w:t>202</w:t>
      </w:r>
      <w:r>
        <w:rPr>
          <w:rFonts w:hint="eastAsia" w:ascii="仿宋_GB2312" w:eastAsia="仿宋_GB2312"/>
          <w:b/>
          <w:sz w:val="32"/>
          <w:szCs w:val="30"/>
          <w:lang w:val="en-US" w:eastAsia="zh-CN"/>
        </w:rPr>
        <w:t>2</w:t>
      </w:r>
      <w:r>
        <w:rPr>
          <w:rFonts w:hint="eastAsia" w:ascii="仿宋_GB2312" w:eastAsia="仿宋_GB2312"/>
          <w:b/>
          <w:sz w:val="32"/>
          <w:szCs w:val="30"/>
        </w:rPr>
        <w:t>年部门预算表</w:t>
      </w:r>
    </w:p>
    <w:p>
      <w:pPr>
        <w:widowControl/>
        <w:shd w:val="clear" w:color="auto" w:fill="FFFFFF"/>
        <w:spacing w:line="640" w:lineRule="atLeast"/>
        <w:ind w:firstLine="800" w:firstLineChars="250"/>
        <w:jc w:val="left"/>
        <w:rPr>
          <w:rFonts w:hint="eastAsia" w:ascii="Adobe 仿宋 Std R" w:hAnsi="Adobe 仿宋 Std R" w:eastAsia="Adobe 仿宋 Std R"/>
          <w:sz w:val="32"/>
          <w:szCs w:val="32"/>
        </w:rPr>
      </w:pP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一《收支预算总表》</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二《部门收入总表》</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三《部门支出总表》</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四《财政拨款收支总表》</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五《一般公共预算支出表》</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六《一般公共预算基本支出表》</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七《一般公共预算“三公”经费支出表》</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八《政府性基金预算支出表》</w:t>
      </w:r>
    </w:p>
    <w:p>
      <w:pPr>
        <w:widowControl/>
        <w:shd w:val="clear" w:color="auto" w:fill="FFFFFF"/>
        <w:spacing w:line="640" w:lineRule="atLeast"/>
        <w:ind w:firstLine="640"/>
        <w:jc w:val="center"/>
        <w:rPr>
          <w:rFonts w:hint="eastAsia"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ind w:firstLine="600" w:firstLineChars="200"/>
        <w:rPr>
          <w:rFonts w:hint="eastAsia" w:ascii="仿宋_GB2312" w:hAnsi="仿宋_GB2312" w:eastAsia="仿宋_GB2312"/>
          <w:color w:val="auto"/>
          <w:kern w:val="0"/>
          <w:sz w:val="30"/>
          <w:szCs w:val="30"/>
        </w:rPr>
      </w:pP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名词解释应以财务会计制度、政府收支分类科目以及部门预算管理等规定为基本说明，可在此基础上结合部门实际情况适当细化。</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一、收入科目</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一、收入科目</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（一）财政拨款</w:t>
      </w:r>
      <w:r>
        <w:rPr>
          <w:rFonts w:hint="eastAsia" w:ascii="仿宋_GB2312" w:hAnsi="仿宋_GB2312" w:eastAsia="仿宋_GB2312" w:cs="仿宋_GB2312"/>
          <w:color w:val="auto"/>
          <w:kern w:val="0"/>
          <w:sz w:val="30"/>
          <w:szCs w:val="30"/>
          <w:lang w:eastAsia="zh-CN"/>
        </w:rPr>
        <w:t>收入</w:t>
      </w:r>
      <w:r>
        <w:rPr>
          <w:rFonts w:hint="eastAsia" w:ascii="仿宋_GB2312" w:hAnsi="仿宋_GB2312" w:eastAsia="仿宋_GB2312" w:cs="仿宋_GB2312"/>
          <w:color w:val="auto"/>
          <w:kern w:val="0"/>
          <w:sz w:val="30"/>
          <w:szCs w:val="30"/>
        </w:rPr>
        <w:t>：指市级财政当年拨付的资金。</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（二）事业收入：指事业单位开展专业业务活动及辅助活动取得的收入。</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（三）事业单位经营收入：指事业单位在专业业务活动及辅助活动之外开展非独立核算经营活动取得的收入。</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（四）其他收入：指除财政拨款、事业收入、事业单位经营收入等以外的各项收入。</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五</w:t>
      </w:r>
      <w:r>
        <w:rPr>
          <w:rFonts w:hint="eastAsia" w:ascii="仿宋_GB2312" w:hAnsi="仿宋_GB2312" w:eastAsia="仿宋_GB2312" w:cs="仿宋_GB2312"/>
          <w:color w:val="auto"/>
          <w:kern w:val="0"/>
          <w:sz w:val="30"/>
          <w:szCs w:val="30"/>
        </w:rPr>
        <w:t>）上年结转和结余：填列20</w:t>
      </w:r>
      <w:r>
        <w:rPr>
          <w:rFonts w:hint="eastAsia" w:ascii="仿宋_GB2312" w:hAnsi="仿宋_GB2312" w:eastAsia="仿宋_GB2312" w:cs="仿宋_GB2312"/>
          <w:color w:val="auto"/>
          <w:kern w:val="0"/>
          <w:sz w:val="30"/>
          <w:szCs w:val="30"/>
          <w:lang w:val="en-US" w:eastAsia="zh-CN"/>
        </w:rPr>
        <w:t>21</w:t>
      </w:r>
      <w:r>
        <w:rPr>
          <w:rFonts w:hint="eastAsia" w:ascii="仿宋_GB2312" w:hAnsi="仿宋_GB2312" w:eastAsia="仿宋_GB2312" w:cs="仿宋_GB2312"/>
          <w:color w:val="auto"/>
          <w:kern w:val="0"/>
          <w:sz w:val="30"/>
          <w:szCs w:val="30"/>
        </w:rPr>
        <w:t>年全部结转和结余的资金数，包括当年结转结余资金和历年滚存结转结余资金。</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二、支出科目</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一</w:t>
      </w:r>
      <w:r>
        <w:rPr>
          <w:rFonts w:hint="eastAsia" w:ascii="仿宋_GB2312" w:hAnsi="仿宋_GB2312" w:eastAsia="仿宋_GB2312" w:cs="仿宋_GB2312"/>
          <w:color w:val="auto"/>
          <w:kern w:val="0"/>
          <w:sz w:val="30"/>
          <w:szCs w:val="30"/>
        </w:rPr>
        <w:t>）“三公”经费支出</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二</w:t>
      </w:r>
      <w:r>
        <w:rPr>
          <w:rFonts w:hint="eastAsia" w:ascii="仿宋_GB2312" w:hAnsi="仿宋_GB2312" w:eastAsia="仿宋_GB2312" w:cs="仿宋_GB2312"/>
          <w:color w:val="auto"/>
          <w:kern w:val="0"/>
          <w:sz w:val="30"/>
          <w:szCs w:val="30"/>
        </w:rPr>
        <w:t>）粮油物资储备支出：粮油事务（行政运行）：反映粮油事务方面的行政单位正常运行、开展日常工作的基本支出。</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三</w:t>
      </w:r>
      <w:r>
        <w:rPr>
          <w:rFonts w:hint="eastAsia" w:ascii="仿宋_GB2312" w:hAnsi="仿宋_GB2312" w:eastAsia="仿宋_GB2312" w:cs="仿宋_GB2312"/>
          <w:color w:val="auto"/>
          <w:kern w:val="0"/>
          <w:sz w:val="30"/>
          <w:szCs w:val="30"/>
        </w:rPr>
        <w:t>）其他粮油事务支出：反映粮油事务方面的除行政单位以外</w:t>
      </w:r>
      <w:r>
        <w:rPr>
          <w:rFonts w:hint="eastAsia" w:ascii="仿宋_GB2312" w:hAnsi="仿宋_GB2312" w:eastAsia="仿宋_GB2312" w:cs="仿宋_GB2312"/>
          <w:color w:val="auto"/>
          <w:kern w:val="0"/>
          <w:sz w:val="30"/>
          <w:szCs w:val="30"/>
          <w:lang w:eastAsia="zh-CN"/>
        </w:rPr>
        <w:t>的地方储备粮管理办公室</w:t>
      </w:r>
      <w:r>
        <w:rPr>
          <w:rFonts w:hint="eastAsia" w:ascii="仿宋_GB2312" w:hAnsi="仿宋_GB2312" w:eastAsia="仿宋_GB2312" w:cs="仿宋_GB2312"/>
          <w:color w:val="auto"/>
          <w:kern w:val="0"/>
          <w:sz w:val="30"/>
          <w:szCs w:val="30"/>
        </w:rPr>
        <w:t>开展日常工作的基本支出。</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p>
    <w:sectPr>
      <w:headerReference r:id="rId3" w:type="default"/>
      <w:footerReference r:id="rId4" w:type="default"/>
      <w:pgSz w:w="11906" w:h="16838"/>
      <w:pgMar w:top="1361" w:right="1800" w:bottom="136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dobe 仿宋 Std R">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YTkyNWI3NzY3YTFiZWJiMThhNzUwMTM3ZGU2ZTQifQ=="/>
  </w:docVars>
  <w:rsids>
    <w:rsidRoot w:val="225C39F6"/>
    <w:rsid w:val="059E36F3"/>
    <w:rsid w:val="05D020A5"/>
    <w:rsid w:val="0C2864DC"/>
    <w:rsid w:val="19541E13"/>
    <w:rsid w:val="19EB76AA"/>
    <w:rsid w:val="1B375B69"/>
    <w:rsid w:val="1B8A054A"/>
    <w:rsid w:val="1CAD7228"/>
    <w:rsid w:val="20E55C2B"/>
    <w:rsid w:val="225C39F6"/>
    <w:rsid w:val="259E0FD0"/>
    <w:rsid w:val="2B3F716D"/>
    <w:rsid w:val="2B932BBB"/>
    <w:rsid w:val="2D8C0B54"/>
    <w:rsid w:val="2EFA10EB"/>
    <w:rsid w:val="34DD3449"/>
    <w:rsid w:val="356B105B"/>
    <w:rsid w:val="36483084"/>
    <w:rsid w:val="39310FA1"/>
    <w:rsid w:val="41914D25"/>
    <w:rsid w:val="42021EDE"/>
    <w:rsid w:val="426F381D"/>
    <w:rsid w:val="45E3264F"/>
    <w:rsid w:val="463351B6"/>
    <w:rsid w:val="4925762B"/>
    <w:rsid w:val="4B045373"/>
    <w:rsid w:val="4EDD20B9"/>
    <w:rsid w:val="4EFD44FC"/>
    <w:rsid w:val="50334005"/>
    <w:rsid w:val="557F5CC1"/>
    <w:rsid w:val="557F6076"/>
    <w:rsid w:val="561843C9"/>
    <w:rsid w:val="58404F46"/>
    <w:rsid w:val="5C6C4B26"/>
    <w:rsid w:val="5CEB76D8"/>
    <w:rsid w:val="60C35D0E"/>
    <w:rsid w:val="66527BAE"/>
    <w:rsid w:val="67CD6582"/>
    <w:rsid w:val="68F52E08"/>
    <w:rsid w:val="6A346592"/>
    <w:rsid w:val="6E53450E"/>
    <w:rsid w:val="748D7C1B"/>
    <w:rsid w:val="75127B90"/>
    <w:rsid w:val="78D756FA"/>
    <w:rsid w:val="7D1C3BAB"/>
    <w:rsid w:val="7D51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customStyle="1" w:styleId="6">
    <w:name w:val="p0"/>
    <w:basedOn w:val="1"/>
    <w:qFormat/>
    <w:uiPriority w:val="0"/>
    <w:pPr>
      <w:widowControl/>
    </w:pPr>
    <w:rPr>
      <w:rFonts w:ascii="Times New Roman" w:hAnsi="Times New Roman"/>
      <w:kern w:val="0"/>
      <w:szCs w:val="21"/>
    </w:rPr>
  </w:style>
  <w:style w:type="character" w:customStyle="1" w:styleId="7">
    <w:name w:val="row_tree_level_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2734</Words>
  <Characters>2927</Characters>
  <Lines>0</Lines>
  <Paragraphs>0</Paragraphs>
  <TotalTime>2</TotalTime>
  <ScaleCrop>false</ScaleCrop>
  <LinksUpToDate>false</LinksUpToDate>
  <CharactersWithSpaces>2962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2021-03-31T02:18:00Z</dcterms:created>
  <dc:creator>舞为余人</dc:creator>
  <cp:lastModifiedBy>舞为余人</cp:lastModifiedBy>
  <dcterms:modified xsi:type="dcterms:W3CDTF">2023-07-03T08:56:20Z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7A617A64D2184796BAA3ED52219584E5_13</vt:lpwstr>
  </property>
</Properties>
</file>