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Times New Roman" w:hAnsi="Times New Roman" w:eastAsia="方正大标宋简体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ind w:firstLine="3158" w:firstLineChars="1316"/>
        <w:jc w:val="right"/>
        <w:rPr>
          <w:rFonts w:hint="eastAsia" w:ascii="Times New Roman" w:hAnsi="Times New Roman" w:eastAsia="仿宋" w:cs="仿宋"/>
          <w:color w:val="000000"/>
          <w:sz w:val="24"/>
          <w:u w:val="none"/>
        </w:rPr>
      </w:pP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 xml:space="preserve">   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饶民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罚决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〔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 xml:space="preserve">  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2022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 xml:space="preserve">   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〕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4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 xml:space="preserve"> 号</w:t>
      </w:r>
    </w:p>
    <w:p>
      <w:pPr>
        <w:pStyle w:val="2"/>
        <w:rPr>
          <w:rFonts w:hint="eastAsia"/>
        </w:rPr>
      </w:pP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当事人：</w:t>
      </w:r>
      <w:bookmarkStart w:id="0" w:name="_GoBack"/>
      <w:r>
        <w:rPr>
          <w:rFonts w:hint="eastAsia" w:eastAsia="仿宋" w:cs="仿宋"/>
          <w:color w:val="000000"/>
          <w:sz w:val="24"/>
          <w:u w:val="none"/>
          <w:lang w:eastAsia="zh-CN"/>
        </w:rPr>
        <w:t>上饶市振欣养老服务中心</w:t>
      </w:r>
      <w:bookmarkEnd w:id="0"/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，社会统一信用代码：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5236110069845445XY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，登记时间：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2009年12月4日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，法定代表人：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王宜华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。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地址：</w:t>
      </w:r>
      <w:r>
        <w:rPr>
          <w:rFonts w:hint="eastAsia" w:eastAsia="仿宋" w:cs="仿宋"/>
          <w:color w:val="000000"/>
          <w:sz w:val="24"/>
          <w:szCs w:val="24"/>
          <w:u w:val="none"/>
          <w:lang w:eastAsia="zh-CN"/>
        </w:rPr>
        <w:t>上饶市信州区三江南大道89号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根据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登记管理机关监督检查发现，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本机关于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2022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 xml:space="preserve">年 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 xml:space="preserve">10 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月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14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日对你单位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违规收取大额床位预付款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的行为予以立案调查。现已查明，你单位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存在违规收取大额床位预付款的行为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。本机关认为你单位的上述行为违反《中华人民共和国行政处罚法》第四十四条和依据《民办非企业单位登记管理暂行条例》（国务院第251号令）第二十五条第八款的规定。现依据《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民办非企业单位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登记管理条例》（国务院第25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1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号令）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《社会组织信用信息管理办法》第十五条第一款第七项的规定，决定对你单位作出</w:t>
      </w:r>
      <w:r>
        <w:rPr>
          <w:rFonts w:hint="eastAsia" w:eastAsia="仿宋" w:cs="仿宋"/>
          <w:color w:val="000000"/>
          <w:sz w:val="24"/>
          <w:u w:val="none"/>
          <w:lang w:val="en-US" w:eastAsia="zh-CN"/>
        </w:rPr>
        <w:t>警告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的行政处罚</w:t>
      </w:r>
      <w:r>
        <w:rPr>
          <w:rFonts w:hint="eastAsia" w:eastAsia="仿宋" w:cs="仿宋"/>
          <w:color w:val="000000"/>
          <w:sz w:val="24"/>
          <w:u w:val="none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</w:pP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你单</w:t>
      </w:r>
      <w:r>
        <w:rPr>
          <w:rFonts w:hint="eastAsia" w:eastAsia="仿宋" w:cs="仿宋"/>
          <w:color w:val="000000"/>
          <w:sz w:val="24"/>
          <w:highlight w:val="none"/>
          <w:u w:val="none"/>
          <w:lang w:eastAsia="zh-CN"/>
        </w:rPr>
        <w:t>位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如不服本处罚决定，可在收到本处罚决定书之日起60日内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eastAsia="zh-CN"/>
        </w:rPr>
        <w:t>（如法律规定的申请期限超过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val="en-US" w:eastAsia="zh-CN"/>
        </w:rPr>
        <w:t>60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eastAsia="zh-CN"/>
        </w:rPr>
        <w:t>日的，应按法律规定的期限确定）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向</w:t>
      </w:r>
      <w:r>
        <w:rPr>
          <w:rFonts w:hint="eastAsia" w:eastAsia="仿宋" w:cs="仿宋"/>
          <w:color w:val="000000"/>
          <w:sz w:val="24"/>
          <w:highlight w:val="none"/>
          <w:u w:val="none"/>
          <w:lang w:val="en-US" w:eastAsia="zh-CN"/>
        </w:rPr>
        <w:t>上饶市人民政府或江西省民政厅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申请行政复议，也可以在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val="en-US" w:eastAsia="zh-CN"/>
        </w:rPr>
        <w:t>6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个月内（如法律有特别规定的，应按法律规定的期限确定）直接向 上饶市中级人民法院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  <w:lang w:eastAsia="zh-CN"/>
        </w:rPr>
        <w:t>提起行政诉讼</w:t>
      </w:r>
      <w:r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  <w:t>。</w:t>
      </w:r>
    </w:p>
    <w:p>
      <w:pPr>
        <w:spacing w:line="40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highlight w:val="none"/>
          <w:u w:val="none"/>
        </w:rPr>
      </w:pPr>
    </w:p>
    <w:p>
      <w:pPr>
        <w:spacing w:line="400" w:lineRule="exact"/>
        <w:ind w:firstLine="2760" w:firstLineChars="1150"/>
        <w:rPr>
          <w:rFonts w:hint="eastAsia" w:ascii="Times New Roman" w:hAnsi="Times New Roman" w:eastAsia="仿宋" w:cs="仿宋"/>
          <w:color w:val="000000"/>
          <w:sz w:val="24"/>
          <w:u w:val="none"/>
        </w:rPr>
      </w:pPr>
    </w:p>
    <w:p>
      <w:pPr>
        <w:pStyle w:val="2"/>
        <w:rPr>
          <w:rFonts w:hint="eastAsia"/>
        </w:rPr>
      </w:pPr>
    </w:p>
    <w:p>
      <w:pPr>
        <w:spacing w:line="400" w:lineRule="exact"/>
        <w:ind w:right="420"/>
        <w:jc w:val="both"/>
        <w:rPr>
          <w:rFonts w:hint="eastAsia" w:ascii="Times New Roman" w:hAnsi="Times New Roman" w:eastAsia="仿宋" w:cs="仿宋"/>
          <w:color w:val="000000"/>
          <w:sz w:val="24"/>
        </w:rPr>
      </w:pPr>
    </w:p>
    <w:p>
      <w:pPr>
        <w:spacing w:line="400" w:lineRule="exact"/>
        <w:ind w:left="0" w:right="420" w:firstLine="5258" w:firstLineChars="2191"/>
        <w:jc w:val="center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eastAsia="仿宋" w:cs="仿宋"/>
          <w:color w:val="000000"/>
          <w:sz w:val="24"/>
          <w:lang w:eastAsia="zh-CN"/>
        </w:rPr>
        <w:t>上饶市民政局</w:t>
      </w:r>
      <w:r>
        <w:rPr>
          <w:rFonts w:hint="eastAsia" w:ascii="Times New Roman" w:hAnsi="Times New Roman" w:eastAsia="仿宋" w:cs="仿宋"/>
          <w:color w:val="000000"/>
          <w:sz w:val="24"/>
        </w:rPr>
        <w:t>（印章）</w:t>
      </w:r>
    </w:p>
    <w:p>
      <w:pPr>
        <w:spacing w:line="400" w:lineRule="exact"/>
        <w:ind w:left="0" w:firstLine="5258" w:firstLineChars="2191"/>
        <w:jc w:val="center"/>
        <w:rPr>
          <w:rFonts w:hint="eastAsia" w:ascii="Times New Roman" w:hAnsi="Times New Roman" w:eastAsia="黑体" w:cs="黑体"/>
          <w:color w:val="000000"/>
          <w:kern w:val="2"/>
          <w:sz w:val="28"/>
          <w:szCs w:val="28"/>
          <w:lang w:val="en-US" w:eastAsia="zh-CN" w:bidi="ar-SA"/>
        </w:rPr>
        <w:sectPr>
          <w:footerReference r:id="rId3" w:type="default"/>
          <w:pgSz w:w="11906" w:h="16838"/>
          <w:pgMar w:top="1984" w:right="1474" w:bottom="1417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" w:cs="仿宋"/>
          <w:color w:val="000000"/>
          <w:sz w:val="24"/>
          <w:lang w:val="en-US" w:eastAsia="zh-CN"/>
        </w:rPr>
        <w:t>2022</w:t>
      </w:r>
      <w:r>
        <w:rPr>
          <w:rFonts w:hint="eastAsia" w:ascii="Times New Roman" w:hAnsi="Times New Roman" w:eastAsia="仿宋" w:cs="仿宋"/>
          <w:color w:val="000000"/>
          <w:sz w:val="24"/>
        </w:rPr>
        <w:t>年</w:t>
      </w:r>
      <w:r>
        <w:rPr>
          <w:rFonts w:hint="eastAsia" w:eastAsia="仿宋" w:cs="仿宋"/>
          <w:color w:val="000000"/>
          <w:sz w:val="24"/>
          <w:lang w:val="en-US" w:eastAsia="zh-CN"/>
        </w:rPr>
        <w:t>11月2日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MWEyOTEyNzJjMTVjMTZhZmVmMGIwYWI0MDJkOWUifQ=="/>
  </w:docVars>
  <w:rsids>
    <w:rsidRoot w:val="14A335A2"/>
    <w:rsid w:val="14A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Times New Roman" w:eastAsia="宋体" w:cs="宋体"/>
      <w:kern w:val="2"/>
      <w:sz w:val="32"/>
      <w:szCs w:val="32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2022-11-09T09:09:00Z</dcterms:created>
  <dc:creator>Administrator</dc:creator>
  <cp:lastModifiedBy>Administrator</cp:lastModifiedBy>
  <dcterms:modified xsi:type="dcterms:W3CDTF">2022-11-09T09:10:18Z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A232247E1B0444C8AE8071C3C21A9F94</vt:lpwstr>
  </property>
</Properties>
</file>