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600" w:lineRule="exact"/>
        <w:jc w:val="center"/>
        <w:rPr>
          <w:rFonts w:ascii="方正小标宋简体" w:hAnsi="方正小标宋简体" w:eastAsia="方正小标宋简体" w:cs="方正小标宋简体"/>
          <w:bCs/>
          <w:color w:val="333333"/>
          <w:sz w:val="36"/>
          <w:szCs w:val="36"/>
          <w:shd w:val="clear" w:color="auto" w:fill="FFFFFF"/>
        </w:rPr>
      </w:pPr>
      <w:r>
        <w:rPr>
          <w:rFonts w:hint="eastAsia" w:ascii="方正小标宋简体" w:hAnsi="方正小标宋简体" w:eastAsia="方正小标宋简体" w:cs="方正小标宋简体"/>
          <w:bCs/>
          <w:color w:val="333333"/>
          <w:sz w:val="36"/>
          <w:szCs w:val="36"/>
          <w:shd w:val="clear" w:color="auto" w:fill="FFFFFF"/>
        </w:rPr>
        <w:t>市民政局政府信息公开工作2019年度报告</w:t>
      </w:r>
    </w:p>
    <w:p>
      <w:pPr>
        <w:pStyle w:val="5"/>
        <w:shd w:val="clear" w:color="auto" w:fill="FFFFFF"/>
        <w:spacing w:beforeAutospacing="0" w:afterAutospacing="0" w:line="600" w:lineRule="exact"/>
        <w:jc w:val="center"/>
        <w:rPr>
          <w:bCs/>
          <w:color w:val="333333"/>
        </w:rPr>
      </w:pPr>
    </w:p>
    <w:p>
      <w:pPr>
        <w:pStyle w:val="5"/>
        <w:shd w:val="clear" w:color="auto" w:fill="FFFFFF"/>
        <w:spacing w:beforeAutospacing="0" w:afterAutospacing="0" w:line="600" w:lineRule="exact"/>
        <w:ind w:firstLine="420"/>
        <w:jc w:val="both"/>
        <w:rPr>
          <w:rFonts w:ascii="黑体" w:hAnsi="黑体" w:eastAsia="黑体" w:cs="方正黑体简体"/>
          <w:bCs/>
          <w:color w:val="333333"/>
          <w:sz w:val="32"/>
          <w:szCs w:val="32"/>
        </w:rPr>
      </w:pPr>
      <w:r>
        <w:rPr>
          <w:rFonts w:hint="eastAsia" w:ascii="黑体" w:hAnsi="黑体" w:eastAsia="黑体"/>
          <w:b/>
          <w:color w:val="333333"/>
          <w:sz w:val="32"/>
          <w:szCs w:val="32"/>
          <w:shd w:val="clear" w:color="auto" w:fill="FFFFFF"/>
        </w:rPr>
        <w:t>一、</w:t>
      </w:r>
      <w:r>
        <w:rPr>
          <w:rFonts w:hint="eastAsia" w:ascii="黑体" w:hAnsi="黑体" w:eastAsia="黑体" w:cs="方正黑体简体"/>
          <w:bCs/>
          <w:color w:val="333333"/>
          <w:sz w:val="32"/>
          <w:szCs w:val="32"/>
          <w:shd w:val="clear" w:color="auto" w:fill="FFFFFF"/>
        </w:rPr>
        <w:t>总体情况</w:t>
      </w:r>
    </w:p>
    <w:p>
      <w:pPr>
        <w:pStyle w:val="5"/>
        <w:shd w:val="clear" w:color="auto" w:fill="FFFFFF"/>
        <w:spacing w:beforeAutospacing="0" w:afterAutospacing="0" w:line="560" w:lineRule="atLeast"/>
        <w:ind w:firstLine="630"/>
        <w:jc w:val="both"/>
        <w:rPr>
          <w:rFonts w:ascii="微软雅黑" w:hAnsi="微软雅黑" w:eastAsia="微软雅黑"/>
          <w:color w:val="555555"/>
          <w:sz w:val="22"/>
        </w:rPr>
      </w:pPr>
      <w:r>
        <w:rPr>
          <w:rFonts w:hint="eastAsia" w:ascii="仿宋_GB2312" w:hAnsi="微软雅黑" w:eastAsia="仿宋_GB2312"/>
          <w:color w:val="555555"/>
          <w:sz w:val="32"/>
          <w:szCs w:val="32"/>
        </w:rPr>
        <w:t>2019年，我局紧紧围绕市委市政府中心工作，认真贯彻实施《中华人民共和国政府信息公开条例》，层层分解落实2019年重点工作安排，加强领导、明确责任，及时部署、积极推动，健全制度、拓展形式，加强检查、抓好监督，平稳、有序地推进政府信息公开工作。政府信息公开工作在服务经济社会发展、保证行政权力公开透明运行和保障公民知情权、参与权、表达权、监督权等方面发挥了积极作用。主要表现在：</w:t>
      </w:r>
    </w:p>
    <w:p>
      <w:pPr>
        <w:pStyle w:val="5"/>
        <w:shd w:val="clear" w:color="auto" w:fill="FFFFFF"/>
        <w:spacing w:beforeAutospacing="0" w:afterAutospacing="0" w:line="560" w:lineRule="atLeast"/>
        <w:ind w:firstLine="630"/>
        <w:jc w:val="both"/>
        <w:rPr>
          <w:rFonts w:ascii="微软雅黑" w:hAnsi="微软雅黑" w:eastAsia="微软雅黑"/>
          <w:color w:val="555555"/>
          <w:sz w:val="22"/>
        </w:rPr>
      </w:pPr>
      <w:r>
        <w:rPr>
          <w:rFonts w:hint="eastAsia" w:ascii="仿宋_GB2312" w:hAnsi="微软雅黑" w:eastAsia="仿宋_GB2312"/>
          <w:color w:val="555555"/>
          <w:sz w:val="32"/>
          <w:szCs w:val="32"/>
        </w:rPr>
        <w:t>1、政务公开组织体系进一步健全。为深入推行政府信息公开和政务公开工作，我局把政府公开工作作为加强党风廉政建设，紧密联系群众，狠抓工作落实的重要举措，切实抓紧抓好，以公开促工作，以公开树形象，以公开赢民心，坚持依法公开、真实公正、讲求实效、利于监督的原则，结合实际，积极推进政府公开工作。做到有领导分管、有工作机构负责、有专人承办。政府信息报送领导小组每季度组织一次由局属单位分管宣传的副职领导参加的小组会议，细化任务，明确责任，切实保障政务信息公开工作的顺利开展。</w:t>
      </w:r>
      <w:r>
        <w:rPr>
          <w:rFonts w:hint="eastAsia" w:ascii="仿宋_GB2312" w:hAnsi="微软雅黑" w:eastAsia="仿宋_GB2312"/>
          <w:color w:val="555555"/>
          <w:sz w:val="32"/>
          <w:szCs w:val="32"/>
          <w:lang w:eastAsia="zh-CN"/>
        </w:rPr>
        <w:t>截至</w:t>
      </w:r>
      <w:bookmarkStart w:id="0" w:name="_GoBack"/>
      <w:bookmarkEnd w:id="0"/>
      <w:r>
        <w:rPr>
          <w:rFonts w:hint="eastAsia" w:ascii="仿宋_GB2312" w:hAnsi="微软雅黑" w:eastAsia="仿宋_GB2312"/>
          <w:color w:val="555555"/>
          <w:sz w:val="32"/>
          <w:szCs w:val="32"/>
        </w:rPr>
        <w:t>2019年12月底，我局政务信息公开工作运行正常。</w:t>
      </w:r>
    </w:p>
    <w:p>
      <w:pPr>
        <w:pStyle w:val="5"/>
        <w:shd w:val="clear" w:color="auto" w:fill="FFFFFF"/>
        <w:spacing w:beforeAutospacing="0" w:afterAutospacing="0" w:line="560" w:lineRule="atLeast"/>
        <w:ind w:firstLine="640"/>
        <w:jc w:val="both"/>
        <w:rPr>
          <w:rFonts w:ascii="微软雅黑" w:hAnsi="微软雅黑" w:eastAsia="微软雅黑"/>
          <w:color w:val="555555"/>
          <w:sz w:val="22"/>
        </w:rPr>
      </w:pPr>
      <w:r>
        <w:rPr>
          <w:rFonts w:hint="eastAsia" w:ascii="仿宋_GB2312" w:hAnsi="微软雅黑" w:eastAsia="仿宋_GB2312"/>
          <w:color w:val="555555"/>
          <w:sz w:val="32"/>
          <w:szCs w:val="32"/>
        </w:rPr>
        <w:t>2、政务公开内容进一步规范。我局主要做到了“三个提升”：一是提升公开的内容质量使之更加充实。我局对政务信息公开的范围、内容、形式、制度等作了进一步的明确。按照组织健全、制度严密、标准统一、运作规范的要求,做好政务信息公开内容的补充以及对已公开内容的修改删补，经过一段时间的努力，公开内容更加充实准确。二是提升公开的时效使之更加及时。针对公开项目的不同情况，确定公开时间，做到常规性工作定期公开，临时性工作随时公开，固定性工作长期公开。三是提升市政府转办的关于申请公开事宜办结效率。对于市政府转办的依申请公开事项我局积极办理，在市政府要求的15个工作日办结的基础上，我局争取在7个工作日内全面、准确办结，进一步提升办结效率。</w:t>
      </w:r>
    </w:p>
    <w:p>
      <w:pPr>
        <w:pStyle w:val="5"/>
        <w:shd w:val="clear" w:color="auto" w:fill="FFFFFF"/>
        <w:spacing w:beforeAutospacing="0" w:afterAutospacing="0" w:line="600" w:lineRule="exact"/>
        <w:ind w:firstLine="420"/>
        <w:jc w:val="both"/>
        <w:rPr>
          <w:bCs/>
          <w:color w:val="333333"/>
        </w:rPr>
      </w:pPr>
      <w:r>
        <w:rPr>
          <w:rFonts w:hint="eastAsia" w:ascii="仿宋_GB2312" w:hAnsi="微软雅黑" w:eastAsia="仿宋_GB2312"/>
          <w:color w:val="555555"/>
          <w:sz w:val="32"/>
          <w:szCs w:val="32"/>
        </w:rPr>
        <w:t>3、政务公开形式更加多样。按照便利、实用、有效的原则，认真创建新载体、新形式，使政务信息公开的形式更加丰富多彩，更具灵活多样。一方面对重大活动和重要工作，充分利用上饶市政府信息公开平台、微信公众号、局长信箱、在线访谈、咨询电话等形式进行政务信息的公开和发布。在今年的各项专项整治工作，及时准确的公布整治进展，也第一时间公布我局的政策法规、人事变动及我市各项创建工作，并及时向新闻媒体通报，开展系列宣传和专题宣传，让广大人民群众了解、关注和支持我局工作；另一方面，通过公示、政务公开栏、设立监督电话等提高了工作的透明度，接受人民群众的监督，促进依法行政，充分发挥职能作用。</w:t>
      </w: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二、主动公开政府信息情况</w:t>
      </w:r>
    </w:p>
    <w:tbl>
      <w:tblPr>
        <w:tblStyle w:val="6"/>
        <w:tblW w:w="8140" w:type="dxa"/>
        <w:jc w:val="center"/>
        <w:shd w:val="clear" w:color="auto" w:fill="FFFFFF" w:themeFill="background1"/>
        <w:tblLayout w:type="fixed"/>
        <w:tblCellMar>
          <w:top w:w="0" w:type="dxa"/>
          <w:left w:w="0" w:type="dxa"/>
          <w:bottom w:w="0" w:type="dxa"/>
          <w:right w:w="0" w:type="dxa"/>
        </w:tblCellMar>
      </w:tblPr>
      <w:tblGrid>
        <w:gridCol w:w="3113"/>
        <w:gridCol w:w="1875"/>
        <w:gridCol w:w="6"/>
        <w:gridCol w:w="1265"/>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Theme="minorHAnsi" w:hAnsiTheme="minorHAnsi" w:eastAsiaTheme="minorEastAsia" w:cstheme="minorBidi"/>
                <w:kern w:val="0"/>
                <w:sz w:val="20"/>
                <w:szCs w:val="20"/>
              </w:rPr>
              <w:t>制作数量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本年新</w:t>
            </w:r>
            <w:r>
              <w:rPr>
                <w:rFonts w:hint="eastAsia" w:ascii="宋体" w:hAnsi="宋体" w:cs="宋体"/>
                <w:color w:val="000000"/>
                <w:kern w:val="0"/>
                <w:sz w:val="20"/>
                <w:szCs w:val="20"/>
              </w:rPr>
              <w:br w:type="textWrapping"/>
            </w:r>
            <w:r>
              <w:rPr>
                <w:rFonts w:asciiTheme="minorHAnsi" w:hAnsiTheme="minorHAnsi" w:eastAsiaTheme="minorEastAsia" w:cstheme="minorBidi"/>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3</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2</w:t>
            </w:r>
          </w:p>
        </w:tc>
        <w:tc>
          <w:tcPr>
            <w:tcW w:w="127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4</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39</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3</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26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left"/>
            </w:pPr>
            <w:r>
              <w:rPr>
                <w:rFonts w:hint="eastAsia" w:ascii="宋体" w:hAnsi="宋体" w:cs="宋体"/>
                <w:color w:val="000000"/>
                <w:kern w:val="0"/>
                <w:sz w:val="20"/>
                <w:szCs w:val="20"/>
              </w:rPr>
              <w:t>　0</w:t>
            </w:r>
          </w:p>
        </w:tc>
        <w:tc>
          <w:tcPr>
            <w:tcW w:w="3146"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 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600" w:lineRule="exact"/>
              <w:jc w:val="left"/>
            </w:pPr>
            <w:r>
              <w:rPr>
                <w:rFonts w:hint="eastAsia" w:ascii="宋体" w:hAnsi="宋体" w:cs="宋体"/>
                <w:color w:val="000000"/>
                <w:kern w:val="0"/>
                <w:sz w:val="20"/>
                <w:szCs w:val="20"/>
              </w:rPr>
              <w:t>信息内容</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600" w:lineRule="exact"/>
              <w:jc w:val="left"/>
            </w:pPr>
            <w:r>
              <w:rPr>
                <w:rFonts w:hint="eastAsia" w:ascii="宋体" w:hAnsi="宋体" w:cs="宋体"/>
                <w:color w:val="000000"/>
                <w:kern w:val="0"/>
                <w:sz w:val="20"/>
                <w:szCs w:val="20"/>
              </w:rPr>
              <w:t>采购项目数量</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600" w:lineRule="exact"/>
              <w:jc w:val="left"/>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600" w:lineRule="exact"/>
              <w:jc w:val="left"/>
            </w:pPr>
            <w:r>
              <w:rPr>
                <w:rFonts w:hint="eastAsia" w:ascii="宋体" w:hAnsi="宋体" w:cs="宋体"/>
                <w:color w:val="000000"/>
                <w:kern w:val="0"/>
                <w:sz w:val="20"/>
                <w:szCs w:val="20"/>
              </w:rPr>
              <w:t>政府集中采购</w:t>
            </w:r>
          </w:p>
        </w:tc>
        <w:tc>
          <w:tcPr>
            <w:tcW w:w="1881"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widowControl/>
              <w:spacing w:line="600" w:lineRule="exact"/>
              <w:jc w:val="left"/>
            </w:pPr>
            <w:r>
              <w:rPr>
                <w:rFonts w:hint="eastAsia" w:ascii="宋体" w:hAnsi="宋体" w:cs="宋体"/>
                <w:color w:val="000000"/>
                <w:kern w:val="0"/>
                <w:sz w:val="20"/>
                <w:szCs w:val="20"/>
              </w:rPr>
              <w:t>　0</w:t>
            </w:r>
          </w:p>
        </w:tc>
        <w:tc>
          <w:tcPr>
            <w:tcW w:w="3146"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pPr>
              <w:spacing w:line="600" w:lineRule="exact"/>
              <w:jc w:val="left"/>
              <w:rPr>
                <w:rFonts w:ascii="宋体"/>
                <w:sz w:val="24"/>
                <w:szCs w:val="24"/>
              </w:rPr>
            </w:pPr>
            <w:r>
              <w:rPr>
                <w:rFonts w:hint="eastAsia" w:ascii="宋体"/>
                <w:sz w:val="24"/>
                <w:szCs w:val="24"/>
              </w:rPr>
              <w:t>0</w:t>
            </w:r>
          </w:p>
        </w:tc>
      </w:tr>
    </w:tbl>
    <w:p>
      <w:pPr>
        <w:pStyle w:val="5"/>
        <w:shd w:val="clear" w:color="auto" w:fill="FFFFFF"/>
        <w:spacing w:beforeAutospacing="0" w:afterAutospacing="0" w:line="600" w:lineRule="exact"/>
        <w:ind w:firstLine="420"/>
        <w:jc w:val="both"/>
        <w:rPr>
          <w:color w:val="333333"/>
        </w:rPr>
      </w:pPr>
    </w:p>
    <w:p>
      <w:pPr>
        <w:pStyle w:val="5"/>
        <w:shd w:val="clear" w:color="auto" w:fill="FFFFFF"/>
        <w:spacing w:beforeAutospacing="0" w:afterAutospacing="0" w:line="600" w:lineRule="exact"/>
        <w:ind w:firstLine="420"/>
        <w:jc w:val="both"/>
        <w:rPr>
          <w:b/>
          <w:color w:val="333333"/>
          <w:shd w:val="clear" w:color="auto" w:fill="FFFFFF"/>
        </w:rPr>
      </w:pP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宋体" w:hAnsi="宋体" w:cs="宋体"/>
                <w:kern w:val="0"/>
                <w:sz w:val="20"/>
                <w:szCs w:val="20"/>
              </w:rPr>
              <w:t>一、本年新收政府信息公开申请数量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5</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宋体" w:hAnsi="宋体" w:cs="宋体"/>
                <w:kern w:val="0"/>
                <w:sz w:val="20"/>
                <w:szCs w:val="20"/>
              </w:rPr>
              <w:t>二、上年结转政府信息公开申请数量</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宋体" w:hAnsi="宋体" w:cs="宋体"/>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5</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7.属于行政执法案卷</w:t>
            </w:r>
          </w:p>
        </w:tc>
        <w:tc>
          <w:tcPr>
            <w:tcW w:w="8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8.属于行政查询事项</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（四）无法提供</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1.本机关不掌握相关政府信息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2.没有现成信息需要另行制作</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cs="Calibri" w:eastAsiaTheme="minorEastAsia"/>
                <w:kern w:val="0"/>
                <w:sz w:val="20"/>
                <w:szCs w:val="20"/>
              </w:rPr>
              <w:t>0</w:t>
            </w: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3.补正后申请内容仍不明确</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（五）不予处理</w:t>
            </w: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1.信访举报投诉类申请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2.重复申请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3.要求提供公开出版物</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4.无正当理由大量反复申请</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08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5.要求行政机关确认或重新出具已获取信息</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cs="Calibri" w:eastAsiaTheme="minorEastAsia"/>
                <w:kern w:val="0"/>
                <w:sz w:val="20"/>
                <w:szCs w:val="20"/>
              </w:rPr>
              <w:t>0</w:t>
            </w: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294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left"/>
            </w:pPr>
            <w:r>
              <w:rPr>
                <w:rFonts w:hint="eastAsia" w:ascii="楷体" w:hAnsi="楷体" w:eastAsia="楷体" w:cs="楷体"/>
                <w:kern w:val="0"/>
                <w:sz w:val="20"/>
                <w:szCs w:val="20"/>
              </w:rPr>
              <w:t>（六）其他处理</w:t>
            </w:r>
          </w:p>
        </w:tc>
        <w:tc>
          <w:tcPr>
            <w:tcW w:w="8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81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97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71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c>
          <w:tcPr>
            <w:tcW w:w="67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楷体" w:hAnsi="楷体" w:eastAsia="楷体" w:cs="楷体"/>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5</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hint="eastAsia" w:ascii="宋体" w:hAnsi="宋体" w:cs="宋体"/>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r>
              <w:rPr>
                <w:rFonts w:hint="eastAsia" w:cs="Calibri" w:eastAsiaTheme="minorEastAsia"/>
                <w:kern w:val="0"/>
                <w:sz w:val="20"/>
                <w:szCs w:val="20"/>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spacing w:line="600" w:lineRule="exact"/>
              <w:jc w:val="left"/>
            </w:pPr>
            <w:r>
              <w:rPr>
                <w:rFonts w:cs="Calibri" w:eastAsiaTheme="minorEastAsia"/>
                <w:kern w:val="0"/>
                <w:sz w:val="20"/>
                <w:szCs w:val="20"/>
              </w:rPr>
              <w:t> </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spacing w:line="600" w:lineRule="exact"/>
              <w:jc w:val="left"/>
              <w:rPr>
                <w:rFonts w:ascii="宋体"/>
                <w:sz w:val="24"/>
                <w:szCs w:val="24"/>
              </w:rPr>
            </w:pPr>
          </w:p>
        </w:tc>
      </w:tr>
    </w:tbl>
    <w:p>
      <w:pPr>
        <w:pStyle w:val="5"/>
        <w:shd w:val="clear" w:color="auto" w:fill="FFFFFF"/>
        <w:spacing w:beforeAutospacing="0" w:afterAutospacing="0" w:line="600" w:lineRule="exact"/>
        <w:ind w:firstLine="420"/>
        <w:jc w:val="both"/>
        <w:rPr>
          <w:color w:val="333333"/>
        </w:rPr>
      </w:pP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cs="Calibri" w:eastAsiaTheme="minorEastAsia"/>
                <w:kern w:val="0"/>
                <w:sz w:val="20"/>
                <w:szCs w:val="20"/>
              </w:rPr>
              <w:t> </w:t>
            </w:r>
            <w:r>
              <w:rPr>
                <w:rFonts w:hint="eastAsia" w:cs="Calibri" w:eastAsiaTheme="minorEastAsia"/>
                <w:kern w:val="0"/>
                <w:sz w:val="20"/>
                <w:szCs w:val="20"/>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cs="Calibri" w:eastAsiaTheme="minorEastAsia"/>
                <w:kern w:val="0"/>
                <w:sz w:val="20"/>
                <w:szCs w:val="20"/>
              </w:rPr>
              <w:t>0</w:t>
            </w:r>
            <w:r>
              <w:rPr>
                <w:rFonts w:cs="Calibri" w:eastAsiaTheme="minorEastAsia"/>
                <w:kern w:val="0"/>
                <w:sz w:val="20"/>
                <w:szCs w:val="20"/>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color w:val="000000"/>
                <w:kern w:val="0"/>
                <w:sz w:val="20"/>
                <w:szCs w:val="20"/>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600" w:lineRule="exact"/>
              <w:jc w:val="center"/>
            </w:pPr>
            <w:r>
              <w:rPr>
                <w:rFonts w:hint="eastAsia" w:ascii="宋体" w:hAnsi="宋体" w:cs="宋体"/>
                <w:kern w:val="0"/>
                <w:sz w:val="20"/>
                <w:szCs w:val="20"/>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spacing w:line="600" w:lineRule="exact"/>
              <w:rPr>
                <w:rFonts w:ascii="宋体"/>
                <w:sz w:val="24"/>
                <w:szCs w:val="24"/>
              </w:rPr>
            </w:pPr>
            <w:r>
              <w:rPr>
                <w:rFonts w:hint="eastAsia" w:ascii="宋体"/>
                <w:sz w:val="24"/>
                <w:szCs w:val="24"/>
              </w:rPr>
              <w:t>0</w:t>
            </w:r>
          </w:p>
        </w:tc>
      </w:tr>
    </w:tbl>
    <w:p>
      <w:pPr>
        <w:widowControl/>
        <w:shd w:val="clear" w:color="auto" w:fill="FFFFFF"/>
        <w:spacing w:line="600" w:lineRule="exact"/>
        <w:jc w:val="center"/>
        <w:rPr>
          <w:rFonts w:ascii="宋体" w:hAnsi="宋体" w:cs="宋体"/>
          <w:color w:val="333333"/>
          <w:sz w:val="24"/>
          <w:szCs w:val="24"/>
        </w:rPr>
      </w:pP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五、存在的主要问题及改进情况</w:t>
      </w:r>
    </w:p>
    <w:p>
      <w:pPr>
        <w:pStyle w:val="5"/>
        <w:shd w:val="clear" w:color="auto" w:fill="FFFFFF"/>
        <w:spacing w:beforeAutospacing="0" w:afterAutospacing="0" w:line="600" w:lineRule="exact"/>
        <w:ind w:firstLine="420"/>
        <w:jc w:val="both"/>
        <w:rPr>
          <w:bCs/>
          <w:color w:val="333333"/>
        </w:rPr>
      </w:pPr>
      <w:r>
        <w:rPr>
          <w:rFonts w:hint="eastAsia" w:ascii="仿宋_GB2312" w:hAnsi="微软雅黑" w:eastAsia="仿宋_GB2312"/>
          <w:color w:val="555555"/>
          <w:sz w:val="32"/>
          <w:szCs w:val="32"/>
        </w:rPr>
        <w:t>在政府信息公开工作中，我局积累了一些工作经验，但也存在一些问题和困难，主要有信息公开的内容有待进一步完善，信息更新还不够及时等。下一步，我们将积极采取措施予以改进。</w:t>
      </w:r>
    </w:p>
    <w:p>
      <w:pPr>
        <w:pStyle w:val="5"/>
        <w:shd w:val="clear" w:color="auto" w:fill="FFFFFF"/>
        <w:spacing w:beforeAutospacing="0" w:afterAutospacing="0" w:line="600" w:lineRule="exact"/>
        <w:ind w:firstLine="420"/>
        <w:jc w:val="both"/>
        <w:rPr>
          <w:rFonts w:ascii="黑体" w:hAnsi="黑体" w:eastAsia="黑体"/>
          <w:b/>
          <w:color w:val="333333"/>
          <w:sz w:val="32"/>
          <w:szCs w:val="32"/>
          <w:shd w:val="clear" w:color="auto" w:fill="FFFFFF"/>
        </w:rPr>
      </w:pPr>
      <w:r>
        <w:rPr>
          <w:rFonts w:hint="eastAsia" w:ascii="黑体" w:hAnsi="黑体" w:eastAsia="黑体"/>
          <w:b/>
          <w:color w:val="333333"/>
          <w:sz w:val="32"/>
          <w:szCs w:val="32"/>
          <w:shd w:val="clear" w:color="auto" w:fill="FFFFFF"/>
        </w:rPr>
        <w:t>六、其他需要报告的事项</w:t>
      </w:r>
    </w:p>
    <w:p>
      <w:pPr>
        <w:pStyle w:val="5"/>
        <w:shd w:val="clear" w:color="auto" w:fill="FFFFFF"/>
        <w:spacing w:beforeAutospacing="0" w:afterAutospacing="0" w:line="560" w:lineRule="atLeast"/>
        <w:ind w:firstLine="640"/>
        <w:jc w:val="both"/>
        <w:rPr>
          <w:rFonts w:ascii="微软雅黑" w:hAnsi="微软雅黑" w:eastAsia="微软雅黑"/>
          <w:color w:val="555555"/>
          <w:sz w:val="22"/>
        </w:rPr>
      </w:pPr>
      <w:r>
        <w:rPr>
          <w:rFonts w:hint="eastAsia" w:ascii="仿宋_GB2312" w:hAnsi="微软雅黑" w:eastAsia="仿宋_GB2312"/>
          <w:color w:val="555555"/>
          <w:sz w:val="32"/>
          <w:szCs w:val="32"/>
        </w:rPr>
        <w:t>下一步，我们将提高对政务公开工作重要性的认识。把落实政务公开与践行“三严三实”、党风廉政建设、密切干群关系结合起来，进一步提高广大党员干部特别是领导干部对政务公开工作的认识。进一步完善各项制度。结合实际，积极探索在新形势下政务公开出现的新情况和新特点，不断强化对政务公开的监管，防止出现死角和漏洞。严格落实领导责任制。继续坚持把政务公开工作纳入领导干部目标管理责任制，作为考核重要内容，进行经常性检查与考核，使此项工作真正落实到位。创新工作方式。按照“以公开为原则，不公开为例外”的总体要求，继续完善政府信息公开的范围与内容，程序与方式，按照职责分工，相互配合，不断提高政府信息公开的质量和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黑体简体">
    <w:altName w:val="方正黑体_GBK"/>
    <w:panose1 w:val="00000000000000000000"/>
    <w:charset w:val="86"/>
    <w:family w:val="auto"/>
    <w:pitch w:val="default"/>
    <w:sig w:usb0="00000000" w:usb1="00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4A68"/>
    <w:rsid w:val="00132659"/>
    <w:rsid w:val="00174745"/>
    <w:rsid w:val="001A4D4D"/>
    <w:rsid w:val="003036CC"/>
    <w:rsid w:val="00303FF6"/>
    <w:rsid w:val="003B336C"/>
    <w:rsid w:val="00453AA8"/>
    <w:rsid w:val="00492DF7"/>
    <w:rsid w:val="004D10F1"/>
    <w:rsid w:val="00513C20"/>
    <w:rsid w:val="006A4A68"/>
    <w:rsid w:val="008164FE"/>
    <w:rsid w:val="00822F5F"/>
    <w:rsid w:val="00855187"/>
    <w:rsid w:val="008C4803"/>
    <w:rsid w:val="009F1D70"/>
    <w:rsid w:val="00BB74F2"/>
    <w:rsid w:val="00C5096D"/>
    <w:rsid w:val="00CD14B1"/>
    <w:rsid w:val="00D05B90"/>
    <w:rsid w:val="00D3743E"/>
    <w:rsid w:val="00DF269E"/>
    <w:rsid w:val="00F33056"/>
    <w:rsid w:val="307B0568"/>
    <w:rsid w:val="675BA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Calibri" w:hAnsi="Calibri" w:cs="黑体"/>
      <w:kern w:val="2"/>
      <w:sz w:val="18"/>
      <w:szCs w:val="18"/>
    </w:rPr>
  </w:style>
  <w:style w:type="character" w:customStyle="1" w:styleId="9">
    <w:name w:val="页脚 Char"/>
    <w:basedOn w:val="7"/>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419</Words>
  <Characters>2393</Characters>
  <Lines>19</Lines>
  <Paragraphs>5</Paragraphs>
  <TotalTime>55</TotalTime>
  <ScaleCrop>false</ScaleCrop>
  <LinksUpToDate>false</LinksUpToDate>
  <CharactersWithSpaces>2807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上饶市民政局收发员</cp:lastModifiedBy>
  <dcterms:modified xsi:type="dcterms:W3CDTF">2023-12-22T09:56:47Z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