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0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5067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单位名称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评价等级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江西省纳米技术研究院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华东数字医学工程研究院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江西德上医药研究院有限公司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江西省钨与稀土研究院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江西省智能产业技术创新研究院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厦门大学九江研究院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中科数字经济研究院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中科吉安生态环境研究院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江西直升机有限公司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江西中科九峰智慧医疗科技有限公司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九江职院产教融合发展有限公司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尚华医药科技（江西）有限公司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鹰潭泰尔物联网研究中心有限公司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中南（上饶）冶金产业研究院有限公司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赣州市智能产业创新研究院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lang w:val="en-US" w:eastAsia="zh-CN" w:bidi="ar"/>
              </w:rPr>
              <w:t>限期整改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赣州市南康区家具智能制造创新中心研究院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lang w:val="en-US" w:eastAsia="zh-CN" w:bidi="ar"/>
              </w:rPr>
              <w:t>限期整改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九江市产业技术研究院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lang w:val="en-US" w:eastAsia="zh-CN" w:bidi="ar"/>
              </w:rPr>
              <w:t>限期整改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江西离子型稀土工程技术研究有限公司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lang w:val="en-US" w:eastAsia="zh-CN" w:bidi="ar"/>
              </w:rPr>
              <w:t>限期整改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江西伊尚堂新能源科技有限公司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lang w:val="en-US" w:eastAsia="zh-CN" w:bidi="ar"/>
              </w:rPr>
              <w:t>限期整改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高安北大资源创新研究院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贵溪市兴园科技创新中心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抚州中科院数据研究院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江西明正科技协同创新有限公司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九江职院船舶与海洋工程技术有限公司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江西正邦农业科学研究院（弃权）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江西科维协同创新药物有限公司（弃权）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江西冠能光电材料有限公司（弃权）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lang w:val="en-US" w:eastAsia="zh-CN" w:bidi="ar"/>
              </w:rPr>
              <w:t>不合格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6F033"/>
    <w:rsid w:val="7546F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character" w:customStyle="1" w:styleId="5">
    <w:name w:val="font11"/>
    <w:basedOn w:val="4"/>
    <w:qFormat/>
    <w:uiPriority w:val="0"/>
    <w:rPr>
      <w:rFonts w:hint="eastAsia" w:ascii="仿宋" w:hAnsi="仿宋" w:eastAsia="仿宋" w:cs="仿宋"/>
      <w:b/>
      <w:bCs/>
      <w:color w:val="000000"/>
      <w:sz w:val="32"/>
      <w:szCs w:val="32"/>
      <w:u w:val="none"/>
    </w:rPr>
  </w:style>
  <w:style w:type="character" w:customStyle="1" w:styleId="6">
    <w:name w:val="font21"/>
    <w:basedOn w:val="4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2023-12-29T17:47:00Z</dcterms:created>
  <dc:creator>test</dc:creator>
  <cp:lastModifiedBy>test</cp:lastModifiedBy>
  <dcterms:modified xsi:type="dcterms:W3CDTF">2023-12-29T17:52:18Z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