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  <w:lang w:val="en-US" w:eastAsia="zh-CN"/>
        </w:rPr>
        <w:t>上饶市特殊教育学校送教上门资源包项目询价公告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  <w:bookmarkStart w:id="0" w:name="_GoBack"/>
      <w:bookmarkEnd w:id="0"/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VjN2JkMmVjNGU1ZTJlMWYzOGZjOGMwOGMzYmYifQ=="/>
  </w:docVars>
  <w:rsids>
    <w:rsidRoot w:val="08E260AF"/>
    <w:rsid w:val="08E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2022-08-23T02:15:00Z</dcterms:created>
  <dc:creator>小月火日立</dc:creator>
  <cp:lastModifiedBy>小月火日立</cp:lastModifiedBy>
  <dcterms:modified xsi:type="dcterms:W3CDTF">2022-08-23T02:28:43Z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0F6B1DCE54C049B7960B74EAA7E34E6C</vt:lpwstr>
  </property>
</Properties>
</file>