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803" w:firstLineChars="200"/>
        <w:jc w:val="center"/>
        <w:rPr>
          <w:rFonts w:ascii="仿宋_GB2312" w:hAnsi="仿宋" w:eastAsia="仿宋_GB2312" w:cs="Tahoma"/>
          <w:kern w:val="0"/>
          <w:sz w:val="40"/>
          <w:szCs w:val="40"/>
        </w:rPr>
      </w:pPr>
      <w:r>
        <w:rPr>
          <w:rFonts w:hint="eastAsia" w:ascii="黑体" w:hAnsi="黑体" w:eastAsia="黑体" w:cs="Tahoma"/>
          <w:b/>
          <w:bCs/>
          <w:kern w:val="36"/>
          <w:sz w:val="40"/>
          <w:szCs w:val="40"/>
        </w:rPr>
        <w:t>江西婺源茶业职业学院2022年部门预算</w:t>
      </w:r>
    </w:p>
    <w:p>
      <w:pPr>
        <w:spacing w:line="720" w:lineRule="auto"/>
        <w:ind w:firstLine="643" w:firstLineChars="200"/>
        <w:jc w:val="center"/>
        <w:rPr>
          <w:rFonts w:ascii="黑体" w:hAnsi="黑体" w:eastAsia="黑体" w:cs="黑体"/>
          <w:kern w:val="0"/>
          <w:sz w:val="32"/>
          <w:szCs w:val="32"/>
        </w:rPr>
      </w:pPr>
      <w:r>
        <w:rPr>
          <w:rFonts w:hint="eastAsia" w:ascii="黑体" w:hAnsi="黑体" w:eastAsia="黑体" w:cs="黑体"/>
          <w:b/>
          <w:bCs/>
          <w:kern w:val="36"/>
          <w:sz w:val="32"/>
          <w:szCs w:val="32"/>
        </w:rPr>
        <w:t>目    录</w:t>
      </w:r>
    </w:p>
    <w:p>
      <w:pPr>
        <w:spacing w:line="720" w:lineRule="auto"/>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第一部分  江西婺源茶业职业学院概况</w:t>
      </w:r>
    </w:p>
    <w:p>
      <w:pPr>
        <w:ind w:firstLine="1280" w:firstLineChars="400"/>
        <w:rPr>
          <w:rFonts w:ascii="仿宋_GB2312" w:hAnsi="Tahoma" w:eastAsia="仿宋_GB2312" w:cs="Tahoma"/>
          <w:kern w:val="0"/>
          <w:sz w:val="32"/>
          <w:szCs w:val="32"/>
        </w:rPr>
      </w:pPr>
      <w:r>
        <w:rPr>
          <w:rFonts w:hint="eastAsia" w:ascii="仿宋_GB2312" w:hAnsi="Tahoma" w:eastAsia="仿宋_GB2312" w:cs="Tahoma"/>
          <w:kern w:val="0"/>
          <w:sz w:val="32"/>
          <w:szCs w:val="32"/>
        </w:rPr>
        <w:t>一、部门主要职责</w:t>
      </w:r>
    </w:p>
    <w:p>
      <w:pPr>
        <w:ind w:firstLine="1280" w:firstLineChars="400"/>
        <w:rPr>
          <w:rFonts w:ascii="仿宋_GB2312" w:hAnsi="Tahoma" w:eastAsia="仿宋_GB2312" w:cs="Tahoma"/>
          <w:kern w:val="0"/>
          <w:sz w:val="32"/>
          <w:szCs w:val="32"/>
        </w:rPr>
      </w:pPr>
      <w:r>
        <w:rPr>
          <w:rFonts w:hint="eastAsia" w:ascii="仿宋_GB2312" w:hAnsi="Tahoma" w:eastAsia="仿宋_GB2312" w:cs="Tahoma"/>
          <w:kern w:val="0"/>
          <w:sz w:val="32"/>
          <w:szCs w:val="32"/>
        </w:rPr>
        <w:t>二、部门机构设置及人员基本情况</w:t>
      </w:r>
    </w:p>
    <w:p>
      <w:pPr>
        <w:ind w:firstLine="643" w:firstLineChars="200"/>
        <w:rPr>
          <w:rFonts w:ascii="黑体" w:hAnsi="黑体" w:eastAsia="黑体" w:cs="Tahoma"/>
          <w:b/>
          <w:bCs/>
          <w:kern w:val="0"/>
          <w:sz w:val="32"/>
          <w:szCs w:val="32"/>
        </w:rPr>
      </w:pPr>
      <w:r>
        <w:rPr>
          <w:rFonts w:hint="eastAsia" w:ascii="仿宋_GB2312" w:hAnsi="Tahoma" w:eastAsia="仿宋_GB2312" w:cs="Tahoma"/>
          <w:b/>
          <w:kern w:val="0"/>
          <w:sz w:val="32"/>
          <w:szCs w:val="32"/>
        </w:rPr>
        <w:t>第二部分 江西婺源茶业职业学院2022年部门预算情况说明</w:t>
      </w:r>
    </w:p>
    <w:p>
      <w:pPr>
        <w:ind w:firstLine="1280" w:firstLineChars="400"/>
        <w:rPr>
          <w:rFonts w:ascii="仿宋_GB2312" w:hAnsi="仿宋" w:eastAsia="仿宋_GB2312" w:cs="Tahoma"/>
          <w:kern w:val="0"/>
          <w:sz w:val="32"/>
          <w:szCs w:val="32"/>
        </w:rPr>
      </w:pPr>
      <w:r>
        <w:rPr>
          <w:rFonts w:hint="eastAsia" w:ascii="仿宋_GB2312" w:hAnsi="Tahoma" w:eastAsia="仿宋_GB2312" w:cs="Tahoma"/>
          <w:kern w:val="0"/>
          <w:sz w:val="32"/>
          <w:szCs w:val="32"/>
        </w:rPr>
        <w:t>一、2022年部门预算收支情况说明</w:t>
      </w:r>
    </w:p>
    <w:p>
      <w:pPr>
        <w:ind w:firstLine="1280" w:firstLineChars="400"/>
        <w:rPr>
          <w:rFonts w:ascii="仿宋_GB2312" w:hAnsi="仿宋" w:eastAsia="仿宋_GB2312" w:cs="Tahoma"/>
          <w:kern w:val="0"/>
          <w:sz w:val="32"/>
          <w:szCs w:val="32"/>
        </w:rPr>
      </w:pPr>
      <w:r>
        <w:rPr>
          <w:rFonts w:hint="eastAsia" w:ascii="仿宋_GB2312" w:hAnsi="Tahoma" w:eastAsia="仿宋_GB2312" w:cs="Tahoma"/>
          <w:kern w:val="0"/>
          <w:sz w:val="32"/>
          <w:szCs w:val="32"/>
        </w:rPr>
        <w:t>二、2022年“三公”经费预算情况说明</w:t>
      </w:r>
    </w:p>
    <w:p>
      <w:pPr>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第三部分  江西婺源茶业职业学院2022年部门预算表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七、《一般公共预算“三公”经费支出表》</w:t>
      </w:r>
    </w:p>
    <w:p>
      <w:pPr>
        <w:pStyle w:val="15"/>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5"/>
        <w:tabs>
          <w:tab w:val="left" w:pos="6546"/>
        </w:tabs>
        <w:spacing w:line="600" w:lineRule="exac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5"/>
        <w:tabs>
          <w:tab w:val="left" w:pos="6546"/>
        </w:tabs>
        <w:spacing w:line="600" w:lineRule="exac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5"/>
        <w:tabs>
          <w:tab w:val="left" w:pos="6546"/>
        </w:tabs>
        <w:spacing w:line="600" w:lineRule="exac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重点项目绩效目标表</w:t>
      </w:r>
      <w:r>
        <w:rPr>
          <w:rFonts w:ascii="Adobe 仿宋 Std R" w:hAnsi="Adobe 仿宋 Std R" w:eastAsia="Adobe 仿宋 Std R" w:cstheme="minorBidi"/>
          <w:kern w:val="2"/>
          <w:sz w:val="32"/>
          <w:szCs w:val="30"/>
        </w:rPr>
        <w:t>》</w:t>
      </w:r>
    </w:p>
    <w:p>
      <w:pPr>
        <w:ind w:firstLine="643" w:firstLineChars="200"/>
        <w:rPr>
          <w:rFonts w:ascii="仿宋_GB2312" w:hAnsi="Tahoma" w:eastAsia="仿宋_GB2312" w:cs="Tahoma"/>
          <w:b/>
          <w:kern w:val="0"/>
          <w:sz w:val="32"/>
          <w:szCs w:val="32"/>
        </w:rPr>
      </w:pPr>
      <w:r>
        <w:rPr>
          <w:rFonts w:hint="eastAsia" w:ascii="仿宋_GB2312" w:hAnsi="Tahoma" w:eastAsia="仿宋_GB2312" w:cs="Tahoma"/>
          <w:b/>
          <w:kern w:val="0"/>
          <w:sz w:val="32"/>
          <w:szCs w:val="32"/>
        </w:rPr>
        <w:t>第四部分  名词解释</w:t>
      </w:r>
    </w:p>
    <w:p>
      <w:pPr>
        <w:ind w:firstLine="1280" w:firstLineChars="400"/>
        <w:rPr>
          <w:rFonts w:ascii="仿宋_GB2312" w:hAnsi="仿宋" w:eastAsia="仿宋_GB2312" w:cs="Tahoma"/>
          <w:kern w:val="0"/>
          <w:sz w:val="32"/>
          <w:szCs w:val="32"/>
        </w:rPr>
      </w:pPr>
      <w:r>
        <w:rPr>
          <w:rFonts w:hint="eastAsia" w:ascii="仿宋_GB2312" w:hAnsi="Tahoma" w:eastAsia="仿宋_GB2312" w:cs="Tahoma"/>
          <w:kern w:val="0"/>
          <w:sz w:val="32"/>
          <w:szCs w:val="32"/>
        </w:rPr>
        <w:t>一、收入科目</w:t>
      </w:r>
    </w:p>
    <w:p>
      <w:pPr>
        <w:ind w:firstLine="1280" w:firstLineChars="400"/>
        <w:rPr>
          <w:rFonts w:ascii="仿宋_GB2312" w:hAnsi="仿宋" w:eastAsia="仿宋_GB2312" w:cs="Tahoma"/>
          <w:kern w:val="0"/>
          <w:sz w:val="32"/>
          <w:szCs w:val="32"/>
        </w:rPr>
      </w:pPr>
      <w:r>
        <w:rPr>
          <w:rFonts w:hint="eastAsia" w:ascii="仿宋_GB2312" w:hAnsi="Tahoma" w:eastAsia="仿宋_GB2312" w:cs="Tahoma"/>
          <w:kern w:val="0"/>
          <w:sz w:val="32"/>
          <w:szCs w:val="32"/>
        </w:rPr>
        <w:t>二、支出科目</w:t>
      </w:r>
    </w:p>
    <w:p>
      <w:pPr>
        <w:ind w:firstLine="562" w:firstLineChars="200"/>
        <w:jc w:val="center"/>
        <w:rPr>
          <w:rFonts w:ascii="黑体" w:hAnsi="黑体" w:eastAsia="黑体" w:cs="Tahoma"/>
          <w:b/>
          <w:bCs/>
          <w:kern w:val="0"/>
          <w:sz w:val="28"/>
          <w:szCs w:val="28"/>
        </w:rPr>
      </w:pPr>
    </w:p>
    <w:p>
      <w:pPr>
        <w:ind w:firstLine="643" w:firstLineChars="200"/>
        <w:jc w:val="center"/>
        <w:rPr>
          <w:rFonts w:ascii="仿宋" w:hAnsi="仿宋" w:eastAsia="仿宋" w:cs="仿宋"/>
          <w:kern w:val="0"/>
          <w:sz w:val="32"/>
          <w:szCs w:val="32"/>
        </w:rPr>
      </w:pPr>
      <w:r>
        <w:rPr>
          <w:rFonts w:hint="eastAsia" w:ascii="仿宋" w:hAnsi="仿宋" w:eastAsia="仿宋" w:cs="仿宋"/>
          <w:b/>
          <w:bCs/>
          <w:kern w:val="0"/>
          <w:sz w:val="32"/>
          <w:szCs w:val="32"/>
        </w:rPr>
        <w:t>第一部分  江西婺源茶业职业学院概况</w:t>
      </w:r>
    </w:p>
    <w:p>
      <w:pPr>
        <w:ind w:firstLine="562" w:firstLineChars="200"/>
        <w:rPr>
          <w:rFonts w:ascii="宋体" w:hAnsi="宋体" w:eastAsia="宋体" w:cs="宋体"/>
          <w:b/>
          <w:kern w:val="0"/>
          <w:sz w:val="28"/>
          <w:szCs w:val="28"/>
        </w:rPr>
      </w:pPr>
    </w:p>
    <w:p>
      <w:pPr>
        <w:ind w:firstLine="643" w:firstLineChars="200"/>
        <w:rPr>
          <w:rFonts w:hint="eastAsia" w:ascii="宋体" w:hAnsi="宋体" w:eastAsia="宋体" w:cs="宋体"/>
          <w:kern w:val="0"/>
          <w:sz w:val="32"/>
          <w:szCs w:val="32"/>
        </w:rPr>
      </w:pPr>
      <w:r>
        <w:rPr>
          <w:rFonts w:hint="eastAsia" w:ascii="宋体" w:hAnsi="宋体" w:eastAsia="宋体" w:cs="宋体"/>
          <w:b/>
          <w:kern w:val="0"/>
          <w:sz w:val="32"/>
          <w:szCs w:val="32"/>
        </w:rPr>
        <w:t>一、部门主要职责</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（一）贯彻执行党和国家的职业教育方针，为上饶的地方经济发展培养高、中级职业技术人才；</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（二）承担培养茶艺与茶文化、茶叶生产与加工技术、旅游管理、酒店管理、电子商务、艺术设计、国际贸易、学前教育等专业的专科与中专层次的人才任务；</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（三）根据省市人社部门批准，承担茶艺师培训、评茶师培训、职业技能等级鉴定及培训任务；</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（四）根据省市农业部门的授权，担负农民工技能培训职责；</w:t>
      </w:r>
      <w:r>
        <w:rPr>
          <w:rFonts w:ascii="仿宋_GB2312" w:hAnsi="仿宋" w:eastAsia="仿宋_GB2312" w:cs="Tahoma"/>
          <w:kern w:val="0"/>
          <w:sz w:val="32"/>
          <w:szCs w:val="32"/>
        </w:rPr>
        <w:t xml:space="preserve"> </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（五）根据其他部门授权，担负其他相关的岗位培训。</w:t>
      </w:r>
    </w:p>
    <w:p>
      <w:pPr>
        <w:ind w:firstLine="643" w:firstLineChars="200"/>
        <w:rPr>
          <w:rFonts w:hint="eastAsia" w:ascii="宋体" w:hAnsi="宋体" w:eastAsia="宋体" w:cs="宋体"/>
          <w:b/>
          <w:kern w:val="0"/>
          <w:sz w:val="32"/>
          <w:szCs w:val="32"/>
        </w:rPr>
      </w:pPr>
      <w:r>
        <w:rPr>
          <w:rFonts w:hint="eastAsia" w:ascii="宋体" w:hAnsi="宋体" w:eastAsia="宋体" w:cs="宋体"/>
          <w:b/>
          <w:kern w:val="0"/>
          <w:sz w:val="32"/>
          <w:szCs w:val="32"/>
        </w:rPr>
        <w:t>二、部门基本情况</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我院共有预算单位1个。编制人数</w:t>
      </w:r>
      <w:r>
        <w:rPr>
          <w:rFonts w:ascii="仿宋_GB2312" w:hAnsi="仿宋" w:eastAsia="仿宋_GB2312" w:cs="Tahoma"/>
          <w:kern w:val="0"/>
          <w:sz w:val="32"/>
          <w:szCs w:val="32"/>
        </w:rPr>
        <w:t>163</w:t>
      </w:r>
      <w:r>
        <w:rPr>
          <w:rFonts w:hint="eastAsia" w:ascii="仿宋_GB2312" w:hAnsi="仿宋" w:eastAsia="仿宋_GB2312" w:cs="Tahoma"/>
          <w:kern w:val="0"/>
          <w:sz w:val="32"/>
          <w:szCs w:val="32"/>
        </w:rPr>
        <w:t>人，其中：全部补助事业编制</w:t>
      </w:r>
      <w:r>
        <w:rPr>
          <w:rFonts w:ascii="仿宋_GB2312" w:hAnsi="仿宋" w:eastAsia="仿宋_GB2312" w:cs="Tahoma"/>
          <w:kern w:val="0"/>
          <w:sz w:val="32"/>
          <w:szCs w:val="32"/>
        </w:rPr>
        <w:t>163</w:t>
      </w:r>
      <w:r>
        <w:rPr>
          <w:rFonts w:hint="eastAsia" w:ascii="仿宋_GB2312" w:hAnsi="仿宋" w:eastAsia="仿宋_GB2312" w:cs="Tahoma"/>
          <w:kern w:val="0"/>
          <w:sz w:val="32"/>
          <w:szCs w:val="32"/>
        </w:rPr>
        <w:t>人；实有人数</w:t>
      </w:r>
      <w:r>
        <w:rPr>
          <w:rFonts w:ascii="仿宋_GB2312" w:hAnsi="仿宋" w:eastAsia="仿宋_GB2312" w:cs="Tahoma"/>
          <w:kern w:val="0"/>
          <w:sz w:val="32"/>
          <w:szCs w:val="32"/>
        </w:rPr>
        <w:t>20</w:t>
      </w:r>
      <w:r>
        <w:rPr>
          <w:rFonts w:hint="eastAsia" w:ascii="仿宋_GB2312" w:hAnsi="仿宋" w:eastAsia="仿宋_GB2312" w:cs="Tahoma"/>
          <w:kern w:val="0"/>
          <w:sz w:val="32"/>
          <w:szCs w:val="32"/>
        </w:rPr>
        <w:t>4人，其中：全部补助事业人员</w:t>
      </w:r>
      <w:r>
        <w:rPr>
          <w:rFonts w:ascii="仿宋_GB2312" w:hAnsi="仿宋" w:eastAsia="仿宋_GB2312" w:cs="Tahoma"/>
          <w:kern w:val="0"/>
          <w:sz w:val="32"/>
          <w:szCs w:val="32"/>
        </w:rPr>
        <w:t>1</w:t>
      </w:r>
      <w:r>
        <w:rPr>
          <w:rFonts w:hint="eastAsia" w:ascii="仿宋_GB2312" w:hAnsi="仿宋" w:eastAsia="仿宋_GB2312" w:cs="Tahoma"/>
          <w:kern w:val="0"/>
          <w:sz w:val="32"/>
          <w:szCs w:val="32"/>
        </w:rPr>
        <w:t>23人，离休人员0人，退休人员</w:t>
      </w:r>
      <w:r>
        <w:rPr>
          <w:rFonts w:ascii="仿宋_GB2312" w:hAnsi="仿宋" w:eastAsia="仿宋_GB2312" w:cs="Tahoma"/>
          <w:kern w:val="0"/>
          <w:sz w:val="32"/>
          <w:szCs w:val="32"/>
        </w:rPr>
        <w:t>4</w:t>
      </w:r>
      <w:r>
        <w:rPr>
          <w:rFonts w:hint="eastAsia" w:ascii="仿宋_GB2312" w:hAnsi="仿宋" w:eastAsia="仿宋_GB2312" w:cs="Tahoma"/>
          <w:kern w:val="0"/>
          <w:sz w:val="32"/>
          <w:szCs w:val="32"/>
        </w:rPr>
        <w:t>9人，遗属人员</w:t>
      </w:r>
      <w:r>
        <w:rPr>
          <w:rFonts w:ascii="仿宋_GB2312" w:hAnsi="仿宋" w:eastAsia="仿宋_GB2312" w:cs="Tahoma"/>
          <w:kern w:val="0"/>
          <w:sz w:val="32"/>
          <w:szCs w:val="32"/>
        </w:rPr>
        <w:t>0</w:t>
      </w:r>
      <w:r>
        <w:rPr>
          <w:rFonts w:hint="eastAsia" w:ascii="仿宋_GB2312" w:hAnsi="仿宋" w:eastAsia="仿宋_GB2312" w:cs="Tahoma"/>
          <w:kern w:val="0"/>
          <w:sz w:val="32"/>
          <w:szCs w:val="32"/>
        </w:rPr>
        <w:t>人，聘用人员32人；在校生人数5170人，其中：高职学生3902人，中职学生</w:t>
      </w:r>
      <w:r>
        <w:rPr>
          <w:rFonts w:ascii="仿宋_GB2312" w:hAnsi="仿宋" w:eastAsia="仿宋_GB2312" w:cs="Tahoma"/>
          <w:kern w:val="0"/>
          <w:sz w:val="32"/>
          <w:szCs w:val="32"/>
        </w:rPr>
        <w:t>1</w:t>
      </w:r>
      <w:r>
        <w:rPr>
          <w:rFonts w:hint="eastAsia" w:ascii="仿宋_GB2312" w:hAnsi="仿宋" w:eastAsia="仿宋_GB2312" w:cs="Tahoma"/>
          <w:kern w:val="0"/>
          <w:sz w:val="32"/>
          <w:szCs w:val="32"/>
        </w:rPr>
        <w:t>268人。</w:t>
      </w:r>
    </w:p>
    <w:p>
      <w:pPr>
        <w:ind w:firstLine="560" w:firstLineChars="200"/>
        <w:rPr>
          <w:rFonts w:ascii="仿宋_GB2312" w:hAnsi="仿宋" w:eastAsia="仿宋_GB2312" w:cs="Tahoma"/>
          <w:kern w:val="0"/>
          <w:sz w:val="28"/>
          <w:szCs w:val="28"/>
        </w:rPr>
      </w:pPr>
    </w:p>
    <w:p>
      <w:pPr>
        <w:ind w:firstLine="643" w:firstLineChars="20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第二部分  江西婺源茶业职业学院2</w:t>
      </w:r>
      <w:r>
        <w:rPr>
          <w:rFonts w:ascii="仿宋" w:hAnsi="仿宋" w:eastAsia="仿宋" w:cs="仿宋"/>
          <w:b/>
          <w:bCs/>
          <w:kern w:val="0"/>
          <w:sz w:val="32"/>
          <w:szCs w:val="32"/>
        </w:rPr>
        <w:t>02</w:t>
      </w:r>
      <w:r>
        <w:rPr>
          <w:rFonts w:hint="eastAsia" w:ascii="仿宋" w:hAnsi="仿宋" w:eastAsia="仿宋" w:cs="仿宋"/>
          <w:b/>
          <w:bCs/>
          <w:kern w:val="0"/>
          <w:sz w:val="32"/>
          <w:szCs w:val="32"/>
        </w:rPr>
        <w:t>2年部门预算情况说明</w:t>
      </w:r>
    </w:p>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一、2022年部门预算收支情况说明</w:t>
      </w:r>
    </w:p>
    <w:p>
      <w:pPr>
        <w:ind w:firstLine="643" w:firstLineChars="200"/>
        <w:rPr>
          <w:rFonts w:ascii="仿宋_GB2312" w:hAnsi="仿宋" w:eastAsia="仿宋_GB2312" w:cs="Tahoma"/>
          <w:b/>
          <w:kern w:val="0"/>
          <w:sz w:val="32"/>
          <w:szCs w:val="32"/>
        </w:rPr>
      </w:pPr>
      <w:r>
        <w:rPr>
          <w:rFonts w:hint="eastAsia" w:ascii="仿宋_GB2312" w:hAnsi="仿宋" w:eastAsia="仿宋_GB2312" w:cs="Tahoma"/>
          <w:b/>
          <w:kern w:val="0"/>
          <w:sz w:val="32"/>
          <w:szCs w:val="32"/>
        </w:rPr>
        <w:t>（一）收入预算情况</w:t>
      </w:r>
    </w:p>
    <w:p>
      <w:pPr>
        <w:ind w:firstLine="640" w:firstLineChars="200"/>
        <w:rPr>
          <w:rFonts w:ascii="仿宋" w:hAnsi="仿宋" w:eastAsia="仿宋" w:cs="Tahoma"/>
          <w:kern w:val="0"/>
          <w:sz w:val="32"/>
          <w:szCs w:val="32"/>
        </w:rPr>
      </w:pPr>
      <w:r>
        <w:rPr>
          <w:rFonts w:hint="eastAsia" w:ascii="仿宋" w:hAnsi="仿宋" w:eastAsia="仿宋" w:cs="Tahoma"/>
          <w:kern w:val="0"/>
          <w:sz w:val="32"/>
          <w:szCs w:val="32"/>
        </w:rPr>
        <w:t>2022年我院收入预算总额为6524.78万元，较上年减少790.17万元，其中：财政拨款收入992.83万元，较上年预算安排减少2243.98万元；事业收入1207.85万元，较上年预算安排减少1292.15万元；教育收费资金收入2730.41万元，较上年预算安排增加2730.41万元; 其他收入1267.2万元，较上年预算安排增加1267.2万元;结转结余326.49万元，较上年预算安排减少1</w:t>
      </w:r>
      <w:r>
        <w:rPr>
          <w:rFonts w:ascii="仿宋" w:hAnsi="仿宋" w:eastAsia="仿宋" w:cs="Tahoma"/>
          <w:kern w:val="0"/>
          <w:sz w:val="32"/>
          <w:szCs w:val="32"/>
        </w:rPr>
        <w:t>517.19</w:t>
      </w:r>
      <w:r>
        <w:rPr>
          <w:rFonts w:hint="eastAsia" w:ascii="仿宋" w:hAnsi="仿宋" w:eastAsia="仿宋" w:cs="Tahoma"/>
          <w:kern w:val="0"/>
          <w:sz w:val="32"/>
          <w:szCs w:val="32"/>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（二）支出预算情况</w:t>
      </w:r>
    </w:p>
    <w:p>
      <w:pPr>
        <w:ind w:firstLine="640" w:firstLineChars="200"/>
        <w:rPr>
          <w:rFonts w:ascii="仿宋" w:hAnsi="仿宋" w:eastAsia="仿宋" w:cs="Tahoma"/>
          <w:kern w:val="0"/>
          <w:sz w:val="32"/>
          <w:szCs w:val="32"/>
        </w:rPr>
      </w:pPr>
      <w:r>
        <w:rPr>
          <w:rFonts w:hint="eastAsia" w:ascii="仿宋" w:hAnsi="仿宋" w:eastAsia="仿宋" w:cs="Tahoma"/>
          <w:kern w:val="0"/>
          <w:sz w:val="32"/>
          <w:szCs w:val="32"/>
        </w:rPr>
        <w:t>2022年我院支出预算总额为6524.78万元，其中：</w:t>
      </w:r>
    </w:p>
    <w:p>
      <w:pPr>
        <w:ind w:firstLine="640" w:firstLineChars="200"/>
        <w:rPr>
          <w:rFonts w:ascii="仿宋" w:hAnsi="仿宋" w:eastAsia="仿宋" w:cs="Tahoma"/>
          <w:kern w:val="0"/>
          <w:sz w:val="32"/>
          <w:szCs w:val="32"/>
        </w:rPr>
      </w:pPr>
      <w:r>
        <w:rPr>
          <w:rFonts w:hint="eastAsia" w:ascii="仿宋" w:hAnsi="仿宋" w:eastAsia="仿宋" w:cs="Tahoma"/>
          <w:kern w:val="0"/>
          <w:sz w:val="32"/>
          <w:szCs w:val="32"/>
        </w:rPr>
        <w:t>按支出项目类别划分：基本支出5079.18万元，较上年预算安排增加516.23万元，包括工资福利支出2882.32万元，商品和服务支出777.92万元，对个人和家庭的补助43万元，资本性支出1375.94万元；项目支出1445.61万元，较上年预算安排减少1306.39万元，江西省中职组手工制茶比赛40万元、教师过渡房装修项目85万元、学前教育实训基地建设110万元、学校精品课程建设的录播教室建设50万元、学院日常维修项目180万元、智慧校园3</w:t>
      </w:r>
      <w:r>
        <w:rPr>
          <w:rFonts w:ascii="仿宋" w:hAnsi="仿宋" w:eastAsia="仿宋" w:cs="Tahoma"/>
          <w:kern w:val="0"/>
          <w:sz w:val="32"/>
          <w:szCs w:val="32"/>
        </w:rPr>
        <w:t>00</w:t>
      </w:r>
      <w:r>
        <w:rPr>
          <w:rFonts w:hint="eastAsia" w:ascii="仿宋" w:hAnsi="仿宋" w:eastAsia="仿宋" w:cs="Tahoma"/>
          <w:kern w:val="0"/>
          <w:sz w:val="32"/>
          <w:szCs w:val="32"/>
        </w:rPr>
        <w:t>万元、学院二期扩35万元、实训楼建设350万元、整体搬迁看台项目295.61万元。</w:t>
      </w:r>
    </w:p>
    <w:p>
      <w:pPr>
        <w:ind w:firstLine="640" w:firstLineChars="200"/>
        <w:rPr>
          <w:rFonts w:ascii="仿宋" w:hAnsi="仿宋" w:eastAsia="仿宋" w:cs="Tahoma"/>
          <w:kern w:val="0"/>
          <w:sz w:val="32"/>
          <w:szCs w:val="32"/>
        </w:rPr>
      </w:pPr>
      <w:r>
        <w:rPr>
          <w:rFonts w:hint="eastAsia" w:ascii="仿宋" w:hAnsi="仿宋" w:eastAsia="仿宋" w:cs="Tahoma"/>
          <w:kern w:val="0"/>
          <w:sz w:val="32"/>
          <w:szCs w:val="32"/>
        </w:rPr>
        <w:t>按支出功能科目划分：教育支出6524.78万元，较上年预算安排减少790.17万元。</w:t>
      </w:r>
    </w:p>
    <w:p>
      <w:pPr>
        <w:ind w:firstLine="640" w:firstLineChars="200"/>
        <w:rPr>
          <w:rFonts w:ascii="仿宋" w:hAnsi="仿宋" w:eastAsia="仿宋" w:cs="Tahoma"/>
          <w:kern w:val="0"/>
          <w:sz w:val="32"/>
          <w:szCs w:val="32"/>
        </w:rPr>
      </w:pPr>
      <w:r>
        <w:rPr>
          <w:rFonts w:hint="eastAsia" w:ascii="仿宋" w:hAnsi="仿宋" w:eastAsia="仿宋" w:cs="Tahoma"/>
          <w:kern w:val="0"/>
          <w:sz w:val="32"/>
          <w:szCs w:val="32"/>
        </w:rPr>
        <w:t>按支出经济分类划分：工资福利支出2882.32万元，较上年预算安排增加276.38万元；商品和服务支出777.92万元，较上年预算安排减少381.91万元；对个人和家庭的补助支出43万元,较上年预算安排减少61.48万元；资本性支出基本建设支出1375.94万元，较上年预算安排减少59.06万元；其他资本性支出1445.61万元，较上年预算安排减少464.09万元。</w:t>
      </w:r>
    </w:p>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（三）财政拨款支出情况</w:t>
      </w:r>
    </w:p>
    <w:p>
      <w:pPr>
        <w:ind w:firstLine="640" w:firstLineChars="200"/>
        <w:rPr>
          <w:rFonts w:ascii="仿宋" w:hAnsi="仿宋" w:eastAsia="仿宋" w:cs="Tahoma"/>
          <w:kern w:val="0"/>
          <w:sz w:val="32"/>
          <w:szCs w:val="32"/>
        </w:rPr>
      </w:pPr>
      <w:r>
        <w:rPr>
          <w:rFonts w:hint="eastAsia" w:ascii="仿宋" w:hAnsi="仿宋" w:eastAsia="仿宋" w:cs="Tahoma"/>
          <w:color w:val="000000" w:themeColor="text1"/>
          <w:kern w:val="0"/>
          <w:sz w:val="32"/>
          <w:szCs w:val="32"/>
        </w:rPr>
        <w:t>202</w:t>
      </w:r>
      <w:r>
        <w:rPr>
          <w:rFonts w:ascii="仿宋" w:hAnsi="仿宋" w:eastAsia="仿宋" w:cs="Tahoma"/>
          <w:color w:val="000000" w:themeColor="text1"/>
          <w:kern w:val="0"/>
          <w:sz w:val="32"/>
          <w:szCs w:val="32"/>
        </w:rPr>
        <w:t>1</w:t>
      </w:r>
      <w:r>
        <w:rPr>
          <w:rFonts w:hint="eastAsia" w:ascii="仿宋" w:hAnsi="仿宋" w:eastAsia="仿宋" w:cs="Tahoma"/>
          <w:color w:val="000000" w:themeColor="text1"/>
          <w:kern w:val="0"/>
          <w:sz w:val="32"/>
          <w:szCs w:val="32"/>
        </w:rPr>
        <w:t>年我院财政拨款支出预算总额为992.83万元，较上年预算安排减少2243.98万元。</w:t>
      </w:r>
    </w:p>
    <w:p>
      <w:pPr>
        <w:ind w:firstLine="640" w:firstLineChars="200"/>
        <w:rPr>
          <w:rFonts w:ascii="仿宋" w:hAnsi="仿宋" w:eastAsia="仿宋" w:cs="Tahoma"/>
          <w:color w:val="000000" w:themeColor="text1"/>
          <w:kern w:val="0"/>
          <w:sz w:val="32"/>
          <w:szCs w:val="32"/>
        </w:rPr>
      </w:pPr>
      <w:r>
        <w:rPr>
          <w:rFonts w:hint="eastAsia" w:ascii="仿宋" w:hAnsi="仿宋" w:eastAsia="仿宋" w:cs="Tahoma"/>
          <w:color w:val="000000" w:themeColor="text1"/>
          <w:kern w:val="0"/>
          <w:sz w:val="32"/>
          <w:szCs w:val="32"/>
        </w:rPr>
        <w:t>按支出功能分类划分：教育支出992.83万元。</w:t>
      </w:r>
    </w:p>
    <w:p>
      <w:pPr>
        <w:ind w:firstLine="640" w:firstLineChars="200"/>
        <w:rPr>
          <w:rFonts w:ascii="仿宋" w:hAnsi="仿宋" w:eastAsia="仿宋" w:cs="Tahoma"/>
          <w:color w:val="000000" w:themeColor="text1"/>
          <w:kern w:val="0"/>
          <w:sz w:val="32"/>
          <w:szCs w:val="32"/>
        </w:rPr>
      </w:pPr>
      <w:r>
        <w:rPr>
          <w:rFonts w:hint="eastAsia" w:ascii="仿宋" w:hAnsi="仿宋" w:eastAsia="仿宋" w:cs="Tahoma"/>
          <w:color w:val="000000" w:themeColor="text1"/>
          <w:kern w:val="0"/>
          <w:sz w:val="32"/>
          <w:szCs w:val="32"/>
        </w:rPr>
        <w:t>按支出经济分类划分：基本支出992.83万元，包括：工资福利支出972.23万元，对个人和家庭的补助20.6万元。</w:t>
      </w:r>
    </w:p>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（四）政府性基金情况</w:t>
      </w:r>
    </w:p>
    <w:p>
      <w:pPr>
        <w:ind w:firstLine="640" w:firstLineChars="200"/>
        <w:rPr>
          <w:rFonts w:ascii="仿宋_GB2312" w:hAnsi="仿宋" w:eastAsia="仿宋_GB2312" w:cs="Tahoma"/>
          <w:kern w:val="0"/>
          <w:sz w:val="28"/>
          <w:szCs w:val="28"/>
        </w:rPr>
      </w:pPr>
      <w:r>
        <w:rPr>
          <w:rFonts w:hint="eastAsia" w:ascii="仿宋_GB2312" w:hAnsi="仿宋" w:eastAsia="仿宋_GB2312" w:cs="Tahoma"/>
          <w:kern w:val="0"/>
          <w:sz w:val="32"/>
          <w:szCs w:val="32"/>
        </w:rPr>
        <w:t>2022年我院没有使用政府性基金预算拨款安排的支出</w:t>
      </w:r>
      <w:r>
        <w:rPr>
          <w:rFonts w:hint="eastAsia" w:ascii="仿宋_GB2312" w:hAnsi="仿宋" w:eastAsia="仿宋_GB2312" w:cs="Tahoma"/>
          <w:kern w:val="0"/>
          <w:sz w:val="28"/>
          <w:szCs w:val="28"/>
        </w:rPr>
        <w:t>。</w:t>
      </w:r>
    </w:p>
    <w:p>
      <w:pPr>
        <w:ind w:firstLine="643" w:firstLineChars="200"/>
        <w:rPr>
          <w:rStyle w:val="14"/>
          <w:rFonts w:ascii="仿宋" w:hAnsi="仿宋" w:eastAsia="仿宋"/>
          <w:sz w:val="32"/>
          <w:szCs w:val="32"/>
        </w:rPr>
      </w:pPr>
      <w:r>
        <w:rPr>
          <w:rFonts w:hint="eastAsia" w:ascii="仿宋_GB2312" w:eastAsia="仿宋_GB2312"/>
          <w:b/>
          <w:color w:val="000000"/>
          <w:sz w:val="32"/>
          <w:szCs w:val="30"/>
        </w:rPr>
        <w:t>（五）</w:t>
      </w:r>
      <w:r>
        <w:rPr>
          <w:rStyle w:val="14"/>
          <w:rFonts w:hint="eastAsia" w:ascii="Adobe 仿宋 Std R" w:hAnsi="Adobe 仿宋 Std R" w:eastAsia="Adobe 仿宋 Std R"/>
          <w:b/>
          <w:sz w:val="32"/>
          <w:szCs w:val="32"/>
        </w:rPr>
        <w:t>国有资本经营情况</w:t>
      </w:r>
      <w:r>
        <w:rPr>
          <w:rStyle w:val="14"/>
          <w:rFonts w:ascii="仿宋" w:hAnsi="仿宋" w:eastAsia="仿宋"/>
          <w:sz w:val="32"/>
          <w:szCs w:val="32"/>
        </w:rPr>
        <w:fldChar w:fldCharType="begin"/>
      </w:r>
      <w:r>
        <w:rPr>
          <w:rStyle w:val="14"/>
          <w:rFonts w:ascii="仿宋" w:hAnsi="仿宋" w:eastAsia="仿宋"/>
          <w:sz w:val="32"/>
          <w:szCs w:val="32"/>
        </w:rPr>
        <w:instrText xml:space="preserve">MERGEFIELD ${page400644146.ds215660413_REP_BGT_T_HC1100002019_DXQ02_JBZCQKGY}</w:instrText>
      </w:r>
      <w:r>
        <w:rPr>
          <w:rStyle w:val="14"/>
          <w:rFonts w:ascii="仿宋" w:hAnsi="仿宋" w:eastAsia="仿宋"/>
          <w:sz w:val="32"/>
          <w:szCs w:val="32"/>
        </w:rPr>
        <w:fldChar w:fldCharType="separate"/>
      </w:r>
      <w:r>
        <w:fldChar w:fldCharType="end"/>
      </w:r>
      <w:r>
        <w:rPr>
          <w:rStyle w:val="14"/>
          <w:rFonts w:ascii="仿宋" w:hAnsi="仿宋" w:eastAsia="仿宋"/>
          <w:sz w:val="32"/>
          <w:szCs w:val="32"/>
        </w:rPr>
        <w:fldChar w:fldCharType="begin"/>
      </w:r>
      <w:r>
        <w:rPr>
          <w:rStyle w:val="14"/>
          <w:rFonts w:ascii="仿宋" w:hAnsi="仿宋" w:eastAsia="仿宋"/>
          <w:sz w:val="32"/>
          <w:szCs w:val="32"/>
        </w:rPr>
        <w:instrText xml:space="preserve">MERGEFIELD ${page400644146.ds215660413_REP_BGT_T_HC1100002019_DXQ02_XMZCQKGY}</w:instrText>
      </w:r>
      <w:r>
        <w:rPr>
          <w:rStyle w:val="14"/>
          <w:rFonts w:ascii="仿宋" w:hAnsi="仿宋" w:eastAsia="仿宋"/>
          <w:sz w:val="32"/>
          <w:szCs w:val="32"/>
        </w:rPr>
        <w:fldChar w:fldCharType="separate"/>
      </w:r>
      <w:r>
        <w:fldChar w:fldCharType="end"/>
      </w:r>
    </w:p>
    <w:p>
      <w:pPr>
        <w:ind w:firstLine="640" w:firstLineChars="200"/>
        <w:rPr>
          <w:rFonts w:hint="eastAsia" w:ascii="仿宋" w:hAnsi="仿宋" w:eastAsia="仿宋"/>
          <w:sz w:val="32"/>
          <w:szCs w:val="32"/>
        </w:rPr>
      </w:pPr>
      <w:r>
        <w:rPr>
          <w:rStyle w:val="14"/>
          <w:rFonts w:hint="eastAsia" w:ascii="仿宋" w:hAnsi="仿宋" w:eastAsia="仿宋"/>
          <w:sz w:val="32"/>
          <w:szCs w:val="32"/>
        </w:rPr>
        <w:t>没有使用国有资本经营预算拨款安排的支出。</w:t>
      </w:r>
    </w:p>
    <w:p>
      <w:pPr>
        <w:ind w:firstLine="643" w:firstLineChars="200"/>
        <w:rPr>
          <w:rFonts w:ascii="仿宋_GB2312" w:hAnsi="仿宋" w:eastAsia="仿宋_GB2312" w:cs="Tahoma"/>
          <w:b/>
          <w:kern w:val="0"/>
          <w:sz w:val="32"/>
          <w:szCs w:val="32"/>
        </w:rPr>
      </w:pPr>
      <w:r>
        <w:rPr>
          <w:rFonts w:hint="eastAsia" w:ascii="仿宋_GB2312" w:hAnsi="仿宋" w:eastAsia="仿宋_GB2312" w:cs="Tahoma"/>
          <w:b/>
          <w:kern w:val="0"/>
          <w:sz w:val="32"/>
          <w:szCs w:val="32"/>
        </w:rPr>
        <w:t>（六）机关运行经费等重要事项的说明</w:t>
      </w:r>
    </w:p>
    <w:p>
      <w:pPr>
        <w:widowControl/>
        <w:spacing w:line="580" w:lineRule="exact"/>
        <w:ind w:firstLine="636"/>
        <w:jc w:val="left"/>
        <w:rPr>
          <w:rFonts w:hint="eastAsia" w:ascii="仿宋_GB2312" w:eastAsia="仿宋_GB2312"/>
          <w:sz w:val="32"/>
          <w:szCs w:val="30"/>
          <w:u w:val="single"/>
        </w:rPr>
      </w:pPr>
      <w:r>
        <w:rPr>
          <w:rFonts w:hint="eastAsia" w:ascii="仿宋_GB2312" w:eastAsia="仿宋_GB2312"/>
          <w:sz w:val="32"/>
          <w:szCs w:val="30"/>
        </w:rPr>
        <w:t>2022年部门机关运行费预算</w:t>
      </w:r>
      <w:r>
        <w:rPr>
          <w:rFonts w:hint="eastAsia" w:ascii="仿宋_GB2312" w:eastAsia="仿宋_GB2312"/>
          <w:sz w:val="32"/>
          <w:szCs w:val="30"/>
          <w:u w:val="single"/>
        </w:rPr>
        <w:t xml:space="preserve">  0     </w:t>
      </w:r>
      <w:r>
        <w:rPr>
          <w:rFonts w:hint="eastAsia" w:ascii="仿宋_GB2312" w:eastAsia="仿宋_GB2312"/>
          <w:sz w:val="32"/>
          <w:szCs w:val="30"/>
        </w:rPr>
        <w:t>万元，比2021年预算增加（减少）</w:t>
      </w:r>
      <w:r>
        <w:rPr>
          <w:rFonts w:hint="eastAsia" w:ascii="仿宋_GB2312" w:eastAsia="仿宋_GB2312"/>
          <w:sz w:val="32"/>
          <w:szCs w:val="30"/>
          <w:u w:val="single"/>
        </w:rPr>
        <w:t xml:space="preserve">    0   </w:t>
      </w:r>
      <w:r>
        <w:rPr>
          <w:rFonts w:hint="eastAsia" w:ascii="仿宋_GB2312" w:eastAsia="仿宋_GB2312"/>
          <w:sz w:val="32"/>
          <w:szCs w:val="30"/>
        </w:rPr>
        <w:t>万元，增长（下降）</w:t>
      </w:r>
      <w:r>
        <w:rPr>
          <w:rFonts w:hint="eastAsia" w:ascii="仿宋_GB2312" w:eastAsia="仿宋_GB2312"/>
          <w:sz w:val="32"/>
          <w:szCs w:val="30"/>
          <w:u w:val="single"/>
        </w:rPr>
        <w:t xml:space="preserve">  0   </w:t>
      </w:r>
      <w:r>
        <w:rPr>
          <w:rFonts w:hint="eastAsia" w:ascii="仿宋_GB2312" w:eastAsia="仿宋_GB2312"/>
          <w:sz w:val="32"/>
          <w:szCs w:val="30"/>
        </w:rPr>
        <w:t>%。</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（七）政府采购情况</w:t>
      </w:r>
    </w:p>
    <w:p>
      <w:pPr>
        <w:widowControl/>
        <w:spacing w:line="580" w:lineRule="exact"/>
        <w:ind w:firstLine="800" w:firstLineChars="250"/>
        <w:jc w:val="left"/>
        <w:rPr>
          <w:rFonts w:ascii="仿宋_GB2312" w:eastAsia="仿宋_GB2312"/>
          <w:sz w:val="32"/>
          <w:szCs w:val="32"/>
        </w:rPr>
      </w:pPr>
      <w:r>
        <w:rPr>
          <w:rFonts w:hint="eastAsia" w:ascii="仿宋_GB2312" w:eastAsia="仿宋_GB2312"/>
          <w:sz w:val="32"/>
          <w:szCs w:val="32"/>
        </w:rPr>
        <w:t>2021年部门所属各单位政府采购总额</w:t>
      </w:r>
      <w:r>
        <w:rPr>
          <w:rFonts w:hint="eastAsia" w:ascii="仿宋_GB2312" w:eastAsia="仿宋_GB2312"/>
          <w:sz w:val="32"/>
          <w:szCs w:val="32"/>
          <w:lang w:val="en-US" w:eastAsia="zh-CN"/>
        </w:rPr>
        <w:t>1377.85</w:t>
      </w:r>
      <w:bookmarkStart w:id="0" w:name="_GoBack"/>
      <w:bookmarkEnd w:id="0"/>
      <w:r>
        <w:rPr>
          <w:rFonts w:hint="eastAsia" w:ascii="仿宋_GB2312" w:eastAsia="仿宋_GB2312"/>
          <w:sz w:val="32"/>
          <w:szCs w:val="32"/>
        </w:rPr>
        <w:t>万元，其中：政府采购货物预算</w:t>
      </w:r>
      <w:r>
        <w:rPr>
          <w:rFonts w:hint="eastAsia" w:ascii="仿宋_GB2312" w:eastAsia="仿宋_GB2312"/>
          <w:sz w:val="32"/>
          <w:szCs w:val="32"/>
          <w:u w:val="single"/>
        </w:rPr>
        <w:t xml:space="preserve">   1187.85  </w:t>
      </w:r>
      <w:r>
        <w:rPr>
          <w:rFonts w:hint="eastAsia" w:ascii="仿宋_GB2312" w:eastAsia="仿宋_GB2312"/>
          <w:sz w:val="32"/>
          <w:szCs w:val="32"/>
        </w:rPr>
        <w:t>万元、政府采购工程预算</w:t>
      </w:r>
      <w:r>
        <w:rPr>
          <w:rFonts w:hint="eastAsia" w:ascii="仿宋_GB2312" w:eastAsia="仿宋_GB2312"/>
          <w:sz w:val="32"/>
          <w:szCs w:val="32"/>
          <w:u w:val="single"/>
        </w:rPr>
        <w:t xml:space="preserve">    </w:t>
      </w:r>
      <w:r>
        <w:rPr>
          <w:rFonts w:ascii="仿宋_GB2312" w:eastAsia="仿宋_GB2312"/>
          <w:sz w:val="32"/>
          <w:szCs w:val="32"/>
          <w:u w:val="single"/>
        </w:rPr>
        <w:t>0</w:t>
      </w:r>
      <w:r>
        <w:rPr>
          <w:rFonts w:hint="eastAsia" w:ascii="仿宋_GB2312" w:eastAsia="仿宋_GB2312"/>
          <w:sz w:val="32"/>
          <w:szCs w:val="32"/>
          <w:u w:val="single"/>
        </w:rPr>
        <w:t xml:space="preserve">   </w:t>
      </w:r>
      <w:r>
        <w:rPr>
          <w:rFonts w:hint="eastAsia" w:ascii="仿宋_GB2312" w:eastAsia="仿宋_GB2312"/>
          <w:sz w:val="32"/>
          <w:szCs w:val="32"/>
        </w:rPr>
        <w:t>万元、政府采购服务预算</w:t>
      </w:r>
      <w:r>
        <w:rPr>
          <w:rFonts w:hint="eastAsia" w:ascii="仿宋_GB2312" w:eastAsia="仿宋_GB2312"/>
          <w:sz w:val="32"/>
          <w:szCs w:val="32"/>
          <w:u w:val="single"/>
        </w:rPr>
        <w:t xml:space="preserve">  190 </w:t>
      </w:r>
      <w:r>
        <w:rPr>
          <w:rFonts w:hint="eastAsia" w:ascii="仿宋_GB2312" w:eastAsia="仿宋_GB2312"/>
          <w:sz w:val="32"/>
          <w:szCs w:val="32"/>
        </w:rPr>
        <w:t>万元。</w:t>
      </w:r>
    </w:p>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（八）国有资产占有使用情况</w:t>
      </w:r>
    </w:p>
    <w:p>
      <w:pPr>
        <w:widowControl/>
        <w:spacing w:line="580" w:lineRule="exact"/>
        <w:ind w:firstLine="800" w:firstLineChars="250"/>
        <w:jc w:val="left"/>
        <w:rPr>
          <w:rFonts w:ascii="仿宋_GB2312" w:eastAsia="仿宋_GB2312"/>
          <w:sz w:val="32"/>
          <w:szCs w:val="32"/>
        </w:rPr>
      </w:pPr>
      <w:r>
        <w:rPr>
          <w:rFonts w:hint="eastAsia" w:ascii="仿宋_GB2312" w:eastAsia="仿宋_GB2312"/>
          <w:sz w:val="32"/>
          <w:szCs w:val="32"/>
        </w:rPr>
        <w:t>截至2021年9月30日，部门共有车辆</w:t>
      </w:r>
      <w:r>
        <w:rPr>
          <w:rFonts w:hint="eastAsia" w:ascii="仿宋_GB2312" w:eastAsia="仿宋_GB2312"/>
          <w:sz w:val="32"/>
          <w:szCs w:val="32"/>
          <w:u w:val="single"/>
        </w:rPr>
        <w:t xml:space="preserve">   </w:t>
      </w:r>
      <w:r>
        <w:rPr>
          <w:rFonts w:ascii="仿宋_GB2312" w:eastAsia="仿宋_GB2312"/>
          <w:sz w:val="32"/>
          <w:szCs w:val="32"/>
          <w:u w:val="single"/>
        </w:rPr>
        <w:t>1</w:t>
      </w:r>
      <w:r>
        <w:rPr>
          <w:rFonts w:hint="eastAsia" w:ascii="仿宋_GB2312" w:eastAsia="仿宋_GB2312"/>
          <w:sz w:val="32"/>
          <w:szCs w:val="32"/>
          <w:u w:val="single"/>
        </w:rPr>
        <w:t xml:space="preserve">  </w:t>
      </w:r>
      <w:r>
        <w:rPr>
          <w:rFonts w:hint="eastAsia" w:ascii="仿宋_GB2312" w:eastAsia="仿宋_GB2312"/>
          <w:sz w:val="32"/>
          <w:szCs w:val="32"/>
        </w:rPr>
        <w:t>辆，其中，一般公务用车</w:t>
      </w:r>
      <w:r>
        <w:rPr>
          <w:rFonts w:hint="eastAsia" w:ascii="仿宋_GB2312" w:eastAsia="仿宋_GB2312"/>
          <w:sz w:val="32"/>
          <w:szCs w:val="32"/>
          <w:u w:val="single"/>
        </w:rPr>
        <w:t xml:space="preserve">  </w:t>
      </w:r>
      <w:r>
        <w:rPr>
          <w:rFonts w:ascii="仿宋_GB2312" w:eastAsia="仿宋_GB2312"/>
          <w:sz w:val="32"/>
          <w:szCs w:val="32"/>
          <w:u w:val="single"/>
        </w:rPr>
        <w:t>1</w:t>
      </w:r>
      <w:r>
        <w:rPr>
          <w:rFonts w:hint="eastAsia" w:ascii="仿宋_GB2312" w:eastAsia="仿宋_GB2312"/>
          <w:sz w:val="32"/>
          <w:szCs w:val="32"/>
          <w:u w:val="single"/>
        </w:rPr>
        <w:t xml:space="preserve">    </w:t>
      </w:r>
      <w:r>
        <w:rPr>
          <w:rFonts w:hint="eastAsia" w:ascii="仿宋_GB2312" w:eastAsia="仿宋_GB2312"/>
          <w:sz w:val="32"/>
          <w:szCs w:val="32"/>
        </w:rPr>
        <w:t>辆，执法执勤用车</w:t>
      </w:r>
      <w:r>
        <w:rPr>
          <w:rFonts w:hint="eastAsia" w:ascii="仿宋_GB2312" w:eastAsia="仿宋_GB2312"/>
          <w:sz w:val="32"/>
          <w:szCs w:val="32"/>
          <w:u w:val="single"/>
        </w:rPr>
        <w:t xml:space="preserve">   </w:t>
      </w:r>
      <w:r>
        <w:rPr>
          <w:rFonts w:ascii="仿宋_GB2312" w:eastAsia="仿宋_GB2312"/>
          <w:sz w:val="32"/>
          <w:szCs w:val="32"/>
          <w:u w:val="single"/>
        </w:rPr>
        <w:t>0</w:t>
      </w:r>
      <w:r>
        <w:rPr>
          <w:rFonts w:hint="eastAsia" w:ascii="仿宋_GB2312" w:eastAsia="仿宋_GB2312"/>
          <w:sz w:val="32"/>
          <w:szCs w:val="32"/>
          <w:u w:val="single"/>
        </w:rPr>
        <w:t xml:space="preserve">  </w:t>
      </w:r>
      <w:r>
        <w:rPr>
          <w:rFonts w:hint="eastAsia" w:ascii="仿宋_GB2312" w:eastAsia="仿宋_GB2312"/>
          <w:sz w:val="32"/>
          <w:szCs w:val="32"/>
        </w:rPr>
        <w:t>辆。</w:t>
      </w:r>
    </w:p>
    <w:p>
      <w:pPr>
        <w:widowControl/>
        <w:spacing w:line="580" w:lineRule="exact"/>
        <w:ind w:firstLine="800" w:firstLineChars="250"/>
        <w:jc w:val="left"/>
        <w:rPr>
          <w:rFonts w:hint="eastAsia" w:ascii="仿宋_GB2312" w:eastAsia="仿宋_GB2312"/>
          <w:sz w:val="32"/>
          <w:szCs w:val="32"/>
        </w:rPr>
      </w:pPr>
      <w:r>
        <w:rPr>
          <w:rFonts w:hint="eastAsia" w:ascii="仿宋_GB2312" w:eastAsia="仿宋_GB2312"/>
          <w:sz w:val="32"/>
          <w:szCs w:val="32"/>
        </w:rPr>
        <w:t>2022年部门预算安排购置车辆</w:t>
      </w:r>
      <w:r>
        <w:rPr>
          <w:rFonts w:hint="eastAsia" w:ascii="仿宋_GB2312" w:eastAsia="仿宋_GB2312"/>
          <w:sz w:val="32"/>
          <w:szCs w:val="32"/>
          <w:u w:val="single"/>
        </w:rPr>
        <w:t xml:space="preserve">  </w:t>
      </w:r>
      <w:r>
        <w:rPr>
          <w:rFonts w:ascii="仿宋_GB2312" w:eastAsia="仿宋_GB2312"/>
          <w:sz w:val="32"/>
          <w:szCs w:val="32"/>
          <w:u w:val="single"/>
        </w:rPr>
        <w:t>1</w:t>
      </w:r>
      <w:r>
        <w:rPr>
          <w:rFonts w:hint="eastAsia" w:ascii="仿宋_GB2312" w:eastAsia="仿宋_GB2312"/>
          <w:sz w:val="32"/>
          <w:szCs w:val="32"/>
          <w:u w:val="single"/>
        </w:rPr>
        <w:t xml:space="preserve">    </w:t>
      </w:r>
      <w:r>
        <w:rPr>
          <w:rFonts w:hint="eastAsia" w:ascii="仿宋_GB2312" w:eastAsia="仿宋_GB2312"/>
          <w:sz w:val="32"/>
          <w:szCs w:val="32"/>
        </w:rPr>
        <w:t>辆，安排购置单位价值200万元以上大型设备具体为：</w:t>
      </w:r>
      <w:r>
        <w:rPr>
          <w:rFonts w:hint="eastAsia" w:ascii="仿宋_GB2312" w:eastAsia="仿宋_GB2312"/>
          <w:sz w:val="32"/>
          <w:szCs w:val="32"/>
          <w:u w:val="single"/>
        </w:rPr>
        <w:t xml:space="preserve">     无     </w:t>
      </w:r>
      <w:r>
        <w:rPr>
          <w:rFonts w:hint="eastAsia" w:ascii="仿宋_GB2312" w:eastAsia="仿宋_GB2312"/>
          <w:sz w:val="32"/>
          <w:szCs w:val="32"/>
        </w:rPr>
        <w:t>。</w:t>
      </w:r>
    </w:p>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（九）绩效目标设置情况</w:t>
      </w:r>
    </w:p>
    <w:p>
      <w:pPr>
        <w:ind w:firstLine="640" w:firstLineChars="200"/>
        <w:rPr>
          <w:rFonts w:ascii="仿宋_GB2312" w:eastAsia="仿宋_GB2312"/>
          <w:sz w:val="32"/>
          <w:szCs w:val="32"/>
        </w:rPr>
      </w:pPr>
      <w:r>
        <w:rPr>
          <w:rFonts w:hint="eastAsia" w:ascii="仿宋_GB2312" w:eastAsia="仿宋_GB2312"/>
          <w:sz w:val="32"/>
          <w:szCs w:val="32"/>
        </w:rPr>
        <w:t>2022年实行绩效目标管理的项目</w:t>
      </w:r>
      <w:r>
        <w:rPr>
          <w:rFonts w:hint="eastAsia" w:ascii="仿宋_GB2312" w:eastAsia="仿宋_GB2312"/>
          <w:sz w:val="32"/>
          <w:szCs w:val="32"/>
          <w:u w:val="single"/>
        </w:rPr>
        <w:t xml:space="preserve">  7 </w:t>
      </w:r>
      <w:r>
        <w:rPr>
          <w:rFonts w:ascii="仿宋_GB2312" w:eastAsia="仿宋_GB2312"/>
          <w:sz w:val="32"/>
          <w:szCs w:val="32"/>
          <w:u w:val="single"/>
        </w:rPr>
        <w:t xml:space="preserve"> </w:t>
      </w:r>
      <w:r>
        <w:rPr>
          <w:rFonts w:hint="eastAsia" w:ascii="仿宋_GB2312" w:eastAsia="仿宋_GB2312"/>
          <w:sz w:val="32"/>
          <w:szCs w:val="32"/>
        </w:rPr>
        <w:t>个，涉及资金</w:t>
      </w:r>
      <w:r>
        <w:rPr>
          <w:rFonts w:hint="eastAsia" w:ascii="仿宋_GB2312" w:eastAsia="仿宋_GB2312"/>
          <w:sz w:val="32"/>
          <w:szCs w:val="32"/>
          <w:u w:val="single"/>
        </w:rPr>
        <w:t xml:space="preserve">     </w:t>
      </w:r>
      <w:r>
        <w:rPr>
          <w:rFonts w:hint="eastAsia" w:ascii="仿宋_GB2312" w:hAnsi="仿宋" w:eastAsia="仿宋_GB2312" w:cs="Tahoma"/>
          <w:kern w:val="0"/>
          <w:sz w:val="32"/>
          <w:szCs w:val="32"/>
        </w:rPr>
        <w:t>1445.61</w:t>
      </w:r>
      <w:r>
        <w:rPr>
          <w:rFonts w:hint="eastAsia" w:ascii="仿宋_GB2312" w:eastAsia="仿宋_GB2312"/>
          <w:sz w:val="32"/>
          <w:szCs w:val="32"/>
        </w:rPr>
        <w:t>万元；纳入绩效目标批复试点的项目</w:t>
      </w:r>
      <w:r>
        <w:rPr>
          <w:rFonts w:hint="eastAsia" w:ascii="仿宋_GB2312" w:eastAsia="仿宋_GB2312"/>
          <w:sz w:val="32"/>
          <w:szCs w:val="32"/>
          <w:u w:val="single"/>
        </w:rPr>
        <w:t xml:space="preserve">  </w:t>
      </w:r>
      <w:r>
        <w:rPr>
          <w:rFonts w:ascii="仿宋_GB2312" w:eastAsia="仿宋_GB2312"/>
          <w:sz w:val="32"/>
          <w:szCs w:val="32"/>
          <w:u w:val="single"/>
        </w:rPr>
        <w:t>0</w:t>
      </w:r>
      <w:r>
        <w:rPr>
          <w:rFonts w:hint="eastAsia" w:ascii="仿宋_GB2312" w:eastAsia="仿宋_GB2312"/>
          <w:sz w:val="32"/>
          <w:szCs w:val="32"/>
          <w:u w:val="single"/>
        </w:rPr>
        <w:t xml:space="preserve">  </w:t>
      </w:r>
      <w:r>
        <w:rPr>
          <w:rFonts w:hint="eastAsia" w:ascii="仿宋_GB2312" w:eastAsia="仿宋_GB2312"/>
          <w:sz w:val="32"/>
          <w:szCs w:val="32"/>
        </w:rPr>
        <w:t>个，涉及资金</w:t>
      </w:r>
      <w:r>
        <w:rPr>
          <w:rFonts w:hint="eastAsia" w:ascii="仿宋_GB2312" w:eastAsia="仿宋_GB2312"/>
          <w:sz w:val="32"/>
          <w:szCs w:val="32"/>
          <w:u w:val="single"/>
        </w:rPr>
        <w:t xml:space="preserve">  </w:t>
      </w:r>
      <w:r>
        <w:rPr>
          <w:rFonts w:ascii="仿宋_GB2312" w:eastAsia="仿宋_GB2312"/>
          <w:sz w:val="32"/>
          <w:szCs w:val="32"/>
          <w:u w:val="single"/>
        </w:rPr>
        <w:t>0</w:t>
      </w:r>
      <w:r>
        <w:rPr>
          <w:rFonts w:hint="eastAsia" w:ascii="仿宋_GB2312" w:eastAsia="仿宋_GB2312"/>
          <w:sz w:val="32"/>
          <w:szCs w:val="32"/>
          <w:u w:val="single"/>
        </w:rPr>
        <w:t xml:space="preserve">   </w:t>
      </w:r>
      <w:r>
        <w:rPr>
          <w:rFonts w:hint="eastAsia" w:ascii="仿宋_GB2312" w:eastAsia="仿宋_GB2312"/>
          <w:sz w:val="32"/>
          <w:szCs w:val="32"/>
        </w:rPr>
        <w:t>万元。</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（十）项目情况说明</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1.中职国家免学费</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 xml:space="preserve">   ①项目概述：保证中等职业学校困难学生，减轻贫困家庭困难 </w:t>
      </w:r>
    </w:p>
    <w:p>
      <w:pPr>
        <w:widowControl/>
        <w:spacing w:line="580" w:lineRule="exact"/>
        <w:ind w:firstLine="1120" w:firstLineChars="350"/>
        <w:jc w:val="left"/>
        <w:rPr>
          <w:rFonts w:ascii="仿宋_GB2312" w:eastAsia="仿宋_GB2312"/>
          <w:sz w:val="32"/>
          <w:szCs w:val="30"/>
        </w:rPr>
      </w:pPr>
      <w:r>
        <w:rPr>
          <w:rFonts w:hint="eastAsia" w:ascii="仿宋_GB2312" w:eastAsia="仿宋_GB2312"/>
          <w:sz w:val="32"/>
          <w:szCs w:val="30"/>
        </w:rPr>
        <w:t>②立项依据：中等职业教育保障</w:t>
      </w:r>
      <w:r>
        <w:rPr>
          <w:rFonts w:ascii="仿宋_GB2312" w:eastAsia="仿宋_GB2312"/>
          <w:sz w:val="32"/>
          <w:szCs w:val="30"/>
        </w:rPr>
        <w:t xml:space="preserve"> </w:t>
      </w:r>
    </w:p>
    <w:p>
      <w:pPr>
        <w:widowControl/>
        <w:spacing w:line="580" w:lineRule="exact"/>
        <w:ind w:firstLine="1280" w:firstLineChars="400"/>
        <w:jc w:val="left"/>
        <w:rPr>
          <w:rFonts w:ascii="仿宋_GB2312" w:eastAsia="仿宋_GB2312"/>
          <w:sz w:val="32"/>
          <w:szCs w:val="30"/>
        </w:rPr>
      </w:pPr>
      <w:r>
        <w:rPr>
          <w:rFonts w:hint="eastAsia" w:ascii="仿宋_GB2312" w:eastAsia="仿宋_GB2312"/>
          <w:sz w:val="32"/>
          <w:szCs w:val="30"/>
        </w:rPr>
        <w:t>③实施主体：江西婺源茶业职业学院</w:t>
      </w:r>
    </w:p>
    <w:p>
      <w:pPr>
        <w:widowControl/>
        <w:spacing w:line="580" w:lineRule="exact"/>
        <w:ind w:firstLine="1280" w:firstLineChars="400"/>
        <w:jc w:val="left"/>
        <w:rPr>
          <w:rFonts w:hint="eastAsia" w:ascii="仿宋_GB2312" w:eastAsia="仿宋_GB2312"/>
          <w:sz w:val="32"/>
          <w:szCs w:val="30"/>
        </w:rPr>
      </w:pPr>
      <w:r>
        <w:rPr>
          <w:rFonts w:hint="eastAsia" w:ascii="仿宋_GB2312" w:eastAsia="仿宋_GB2312"/>
          <w:sz w:val="32"/>
          <w:szCs w:val="30"/>
        </w:rPr>
        <w:t>④实施方案：促进和发展中等职业教育</w:t>
      </w:r>
    </w:p>
    <w:p>
      <w:pPr>
        <w:widowControl/>
        <w:spacing w:line="580" w:lineRule="exact"/>
        <w:ind w:firstLine="1280" w:firstLineChars="400"/>
        <w:jc w:val="left"/>
        <w:rPr>
          <w:rFonts w:ascii="仿宋_GB2312" w:eastAsia="仿宋_GB2312"/>
          <w:sz w:val="32"/>
          <w:szCs w:val="30"/>
        </w:rPr>
      </w:pPr>
      <w:r>
        <w:rPr>
          <w:rFonts w:hint="eastAsia" w:ascii="仿宋_GB2312" w:eastAsia="仿宋_GB2312"/>
          <w:sz w:val="32"/>
          <w:szCs w:val="30"/>
        </w:rPr>
        <w:t>⑤实施周期：2022年</w:t>
      </w:r>
    </w:p>
    <w:p>
      <w:pPr>
        <w:widowControl/>
        <w:spacing w:line="580" w:lineRule="exact"/>
        <w:ind w:firstLine="1280" w:firstLineChars="400"/>
        <w:jc w:val="left"/>
        <w:rPr>
          <w:rFonts w:ascii="仿宋_GB2312" w:eastAsia="仿宋_GB2312"/>
          <w:sz w:val="32"/>
          <w:szCs w:val="30"/>
        </w:rPr>
      </w:pPr>
      <w:r>
        <w:rPr>
          <w:rFonts w:hint="eastAsia" w:ascii="仿宋_GB2312" w:eastAsia="仿宋_GB2312"/>
          <w:sz w:val="32"/>
          <w:szCs w:val="30"/>
        </w:rPr>
        <w:t>⑥年度预算安排：</w:t>
      </w:r>
      <w:r>
        <w:rPr>
          <w:rFonts w:ascii="仿宋_GB2312" w:eastAsia="仿宋_GB2312"/>
          <w:sz w:val="32"/>
          <w:szCs w:val="30"/>
        </w:rPr>
        <w:t>422.4</w:t>
      </w:r>
      <w:r>
        <w:rPr>
          <w:rFonts w:hint="eastAsia" w:ascii="仿宋_GB2312" w:eastAsia="仿宋_GB2312"/>
          <w:sz w:val="32"/>
          <w:szCs w:val="30"/>
        </w:rPr>
        <w:t>万元</w:t>
      </w:r>
    </w:p>
    <w:p>
      <w:pPr>
        <w:widowControl/>
        <w:spacing w:line="580" w:lineRule="exact"/>
        <w:ind w:firstLine="1280" w:firstLineChars="400"/>
        <w:jc w:val="left"/>
        <w:rPr>
          <w:rFonts w:hint="eastAsia" w:ascii="仿宋_GB2312" w:eastAsia="仿宋_GB2312"/>
          <w:sz w:val="32"/>
          <w:szCs w:val="30"/>
        </w:rPr>
      </w:pPr>
      <w:r>
        <w:rPr>
          <w:rFonts w:hint="eastAsia" w:ascii="仿宋_GB2312" w:eastAsia="仿宋_GB2312"/>
          <w:sz w:val="32"/>
          <w:szCs w:val="30"/>
        </w:rPr>
        <w:t>⑦绩效目标和指标：</w:t>
      </w:r>
    </w:p>
    <w:tbl>
      <w:tblPr>
        <w:tblStyle w:val="5"/>
        <w:tblW w:w="0" w:type="auto"/>
        <w:tblInd w:w="108" w:type="dxa"/>
        <w:tblLayout w:type="autofit"/>
        <w:tblCellMar>
          <w:top w:w="0" w:type="dxa"/>
          <w:left w:w="108" w:type="dxa"/>
          <w:bottom w:w="0" w:type="dxa"/>
          <w:right w:w="108" w:type="dxa"/>
        </w:tblCellMar>
      </w:tblPr>
      <w:tblGrid>
        <w:gridCol w:w="1179"/>
        <w:gridCol w:w="1467"/>
        <w:gridCol w:w="1899"/>
        <w:gridCol w:w="1322"/>
        <w:gridCol w:w="2547"/>
      </w:tblGrid>
      <w:tr>
        <w:tblPrEx>
          <w:tblCellMar>
            <w:top w:w="0" w:type="dxa"/>
            <w:left w:w="108" w:type="dxa"/>
            <w:bottom w:w="0" w:type="dxa"/>
            <w:right w:w="108" w:type="dxa"/>
          </w:tblCellMar>
        </w:tblPrEx>
        <w:trPr>
          <w:trHeight w:val="465" w:hRule="atLeast"/>
        </w:trPr>
        <w:tc>
          <w:tcPr>
            <w:tcW w:w="0" w:type="auto"/>
            <w:gridSpan w:val="5"/>
            <w:tcBorders>
              <w:top w:val="nil"/>
              <w:left w:val="nil"/>
              <w:bottom w:val="nil"/>
              <w:right w:val="nil"/>
            </w:tcBorders>
            <w:shd w:val="clear" w:color="auto" w:fill="auto"/>
            <w:vAlign w:val="center"/>
          </w:tcPr>
          <w:p>
            <w:pPr>
              <w:widowControl/>
              <w:jc w:val="center"/>
              <w:rPr>
                <w:rFonts w:ascii="方正小标宋简体" w:hAnsi="方正小标宋简体" w:eastAsia="宋体" w:cs="Arial"/>
                <w:kern w:val="0"/>
                <w:sz w:val="36"/>
                <w:szCs w:val="36"/>
              </w:rPr>
            </w:pPr>
            <w:r>
              <w:rPr>
                <w:rFonts w:ascii="方正小标宋简体" w:hAnsi="方正小标宋简体" w:eastAsia="宋体" w:cs="Arial"/>
                <w:kern w:val="0"/>
                <w:sz w:val="36"/>
                <w:szCs w:val="36"/>
              </w:rPr>
              <w:t>项目绩效目标表</w:t>
            </w:r>
          </w:p>
        </w:tc>
      </w:tr>
      <w:tr>
        <w:tblPrEx>
          <w:tblCellMar>
            <w:top w:w="0" w:type="dxa"/>
            <w:left w:w="108" w:type="dxa"/>
            <w:bottom w:w="0" w:type="dxa"/>
            <w:right w:w="108" w:type="dxa"/>
          </w:tblCellMar>
        </w:tblPrEx>
        <w:trPr>
          <w:trHeight w:val="315" w:hRule="atLeast"/>
        </w:trPr>
        <w:tc>
          <w:tcPr>
            <w:tcW w:w="0" w:type="auto"/>
            <w:gridSpan w:val="5"/>
            <w:tcBorders>
              <w:top w:val="nil"/>
              <w:left w:val="nil"/>
              <w:bottom w:val="nil"/>
              <w:right w:val="nil"/>
            </w:tcBorders>
            <w:shd w:val="clear" w:color="auto" w:fill="auto"/>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2022年度）</w:t>
            </w:r>
          </w:p>
        </w:tc>
      </w:tr>
      <w:tr>
        <w:tblPrEx>
          <w:tblCellMar>
            <w:top w:w="0" w:type="dxa"/>
            <w:left w:w="108" w:type="dxa"/>
            <w:bottom w:w="0" w:type="dxa"/>
            <w:right w:w="108" w:type="dxa"/>
          </w:tblCellMar>
        </w:tblPrEx>
        <w:trPr>
          <w:trHeight w:val="315"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项目名称</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中职国家免学费</w:t>
            </w:r>
          </w:p>
        </w:tc>
      </w:tr>
      <w:tr>
        <w:tblPrEx>
          <w:tblCellMar>
            <w:top w:w="0" w:type="dxa"/>
            <w:left w:w="108" w:type="dxa"/>
            <w:bottom w:w="0" w:type="dxa"/>
            <w:right w:w="108" w:type="dxa"/>
          </w:tblCellMar>
        </w:tblPrEx>
        <w:trPr>
          <w:trHeight w:val="315"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主管部门及代码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宋体"/>
                <w:color w:val="000000"/>
                <w:kern w:val="0"/>
                <w:sz w:val="24"/>
                <w:szCs w:val="24"/>
                <w:lang w:bidi="ar"/>
              </w:rPr>
              <w:t>上饶市教育局201</w:t>
            </w:r>
            <w:r>
              <w:rPr>
                <w:rFonts w:hint="eastAsia" w:ascii="宋体" w:hAnsi="宋体" w:eastAsia="宋体" w:cs="Arial"/>
                <w:kern w:val="0"/>
                <w:sz w:val="24"/>
                <w:szCs w:val="24"/>
              </w:rPr>
              <w:t>　</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实施单位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江西婺源茶业职业学院　</w:t>
            </w:r>
          </w:p>
        </w:tc>
      </w:tr>
      <w:tr>
        <w:tblPrEx>
          <w:tblCellMar>
            <w:top w:w="0" w:type="dxa"/>
            <w:left w:w="108" w:type="dxa"/>
            <w:bottom w:w="0" w:type="dxa"/>
            <w:right w:w="108" w:type="dxa"/>
          </w:tblCellMar>
        </w:tblPrEx>
        <w:trPr>
          <w:trHeight w:val="315" w:hRule="atLeast"/>
        </w:trPr>
        <w:tc>
          <w:tcPr>
            <w:tcW w:w="0" w:type="auto"/>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项目属性</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　中职学生资助补助</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项目日期范围</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2</w:t>
            </w:r>
            <w:r>
              <w:rPr>
                <w:rFonts w:ascii="宋体" w:hAnsi="宋体" w:eastAsia="宋体" w:cs="Arial"/>
                <w:kern w:val="0"/>
                <w:sz w:val="24"/>
                <w:szCs w:val="24"/>
              </w:rPr>
              <w:t>022</w:t>
            </w:r>
            <w:r>
              <w:rPr>
                <w:rFonts w:hint="eastAsia" w:ascii="宋体" w:hAnsi="宋体" w:eastAsia="宋体" w:cs="Arial"/>
                <w:kern w:val="0"/>
                <w:sz w:val="24"/>
                <w:szCs w:val="24"/>
              </w:rPr>
              <w:t>年　</w:t>
            </w:r>
          </w:p>
        </w:tc>
      </w:tr>
      <w:tr>
        <w:tblPrEx>
          <w:tblCellMar>
            <w:top w:w="0" w:type="dxa"/>
            <w:left w:w="108" w:type="dxa"/>
            <w:bottom w:w="0" w:type="dxa"/>
            <w:right w:w="108" w:type="dxa"/>
          </w:tblCellMar>
        </w:tblPrEx>
        <w:trPr>
          <w:trHeight w:val="315"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4"/>
                <w:szCs w:val="24"/>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　</w:t>
            </w:r>
          </w:p>
        </w:tc>
      </w:tr>
      <w:tr>
        <w:tblPrEx>
          <w:tblCellMar>
            <w:top w:w="0" w:type="dxa"/>
            <w:left w:w="108" w:type="dxa"/>
            <w:bottom w:w="0" w:type="dxa"/>
            <w:right w:w="108" w:type="dxa"/>
          </w:tblCellMar>
        </w:tblPrEx>
        <w:trPr>
          <w:trHeight w:val="315" w:hRule="atLeast"/>
        </w:trPr>
        <w:tc>
          <w:tcPr>
            <w:tcW w:w="0" w:type="auto"/>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项目资金</w:t>
            </w:r>
            <w:r>
              <w:rPr>
                <w:rFonts w:hint="eastAsia" w:ascii="宋体" w:hAnsi="宋体" w:eastAsia="宋体" w:cs="Arial"/>
                <w:kern w:val="0"/>
                <w:sz w:val="24"/>
                <w:szCs w:val="24"/>
              </w:rPr>
              <w:br w:type="textWrapping"/>
            </w:r>
            <w:r>
              <w:rPr>
                <w:rFonts w:hint="eastAsia" w:ascii="宋体" w:hAnsi="宋体" w:eastAsia="宋体" w:cs="Arial"/>
                <w:kern w:val="0"/>
                <w:sz w:val="24"/>
                <w:szCs w:val="24"/>
              </w:rPr>
              <w:t>（万元）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 xml:space="preserve"> 年度资金总额</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422.4</w:t>
            </w:r>
          </w:p>
        </w:tc>
      </w:tr>
      <w:tr>
        <w:tblPrEx>
          <w:tblCellMar>
            <w:top w:w="0" w:type="dxa"/>
            <w:left w:w="108" w:type="dxa"/>
            <w:bottom w:w="0" w:type="dxa"/>
            <w:right w:w="108" w:type="dxa"/>
          </w:tblCellMar>
        </w:tblPrEx>
        <w:trPr>
          <w:trHeight w:val="315" w:hRule="atLeast"/>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4"/>
                <w:szCs w:val="24"/>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其中：财政拨款</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422.4</w:t>
            </w:r>
          </w:p>
        </w:tc>
      </w:tr>
      <w:tr>
        <w:tblPrEx>
          <w:tblCellMar>
            <w:top w:w="0" w:type="dxa"/>
            <w:left w:w="108" w:type="dxa"/>
            <w:bottom w:w="0" w:type="dxa"/>
            <w:right w:w="108" w:type="dxa"/>
          </w:tblCellMar>
        </w:tblPrEx>
        <w:trPr>
          <w:trHeight w:val="315" w:hRule="atLeast"/>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4"/>
                <w:szCs w:val="24"/>
              </w:rPr>
            </w:pPr>
          </w:p>
        </w:tc>
        <w:tc>
          <w:tcPr>
            <w:tcW w:w="0" w:type="auto"/>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其他资金</w:t>
            </w:r>
          </w:p>
        </w:tc>
        <w:tc>
          <w:tcPr>
            <w:tcW w:w="0" w:type="auto"/>
            <w:gridSpan w:val="2"/>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0</w:t>
            </w:r>
          </w:p>
        </w:tc>
      </w:tr>
      <w:tr>
        <w:tblPrEx>
          <w:tblCellMar>
            <w:top w:w="0" w:type="dxa"/>
            <w:left w:w="108" w:type="dxa"/>
            <w:bottom w:w="0" w:type="dxa"/>
            <w:right w:w="108" w:type="dxa"/>
          </w:tblCellMar>
        </w:tblPrEx>
        <w:trPr>
          <w:trHeight w:val="315" w:hRule="atLeast"/>
        </w:trPr>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b/>
                <w:bCs/>
                <w:color w:val="000000"/>
                <w:kern w:val="0"/>
                <w:sz w:val="24"/>
                <w:szCs w:val="24"/>
              </w:rPr>
            </w:pPr>
            <w:r>
              <w:rPr>
                <w:rFonts w:hint="eastAsia" w:ascii="宋体" w:hAnsi="宋体" w:eastAsia="宋体" w:cs="Arial"/>
                <w:b/>
                <w:bCs/>
                <w:color w:val="000000"/>
                <w:kern w:val="0"/>
                <w:sz w:val="24"/>
                <w:szCs w:val="24"/>
              </w:rPr>
              <w:t>年度绩效目标</w:t>
            </w:r>
          </w:p>
        </w:tc>
      </w:tr>
      <w:tr>
        <w:tblPrEx>
          <w:tblCellMar>
            <w:top w:w="0" w:type="dxa"/>
            <w:left w:w="108" w:type="dxa"/>
            <w:bottom w:w="0" w:type="dxa"/>
            <w:right w:w="108" w:type="dxa"/>
          </w:tblCellMar>
        </w:tblPrEx>
        <w:trPr>
          <w:trHeight w:val="720" w:hRule="atLeast"/>
        </w:trPr>
        <w:tc>
          <w:tcPr>
            <w:tcW w:w="0" w:type="auto"/>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家庭经济困难学生免学费补助全覆盖，减轻贫困家庭教育负担，不让一名学生因家庭经济困难而失学</w:t>
            </w:r>
          </w:p>
        </w:tc>
      </w:tr>
      <w:tr>
        <w:tblPrEx>
          <w:tblCellMar>
            <w:top w:w="0" w:type="dxa"/>
            <w:left w:w="108" w:type="dxa"/>
            <w:bottom w:w="0" w:type="dxa"/>
            <w:right w:w="108" w:type="dxa"/>
          </w:tblCellMar>
        </w:tblPrEx>
        <w:trPr>
          <w:trHeight w:val="63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b/>
                <w:bCs/>
                <w:kern w:val="0"/>
                <w:sz w:val="24"/>
                <w:szCs w:val="24"/>
              </w:rPr>
            </w:pPr>
            <w:r>
              <w:rPr>
                <w:rFonts w:hint="eastAsia" w:ascii="宋体" w:hAnsi="宋体" w:eastAsia="宋体" w:cs="Arial"/>
                <w:b/>
                <w:bCs/>
                <w:kern w:val="0"/>
                <w:sz w:val="24"/>
                <w:szCs w:val="24"/>
              </w:rPr>
              <w:t>一级指标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b/>
                <w:bCs/>
                <w:kern w:val="0"/>
                <w:sz w:val="24"/>
                <w:szCs w:val="24"/>
              </w:rPr>
            </w:pPr>
            <w:r>
              <w:rPr>
                <w:rFonts w:hint="eastAsia" w:ascii="宋体" w:hAnsi="宋体" w:eastAsia="宋体" w:cs="Arial"/>
                <w:b/>
                <w:bCs/>
                <w:kern w:val="0"/>
                <w:sz w:val="24"/>
                <w:szCs w:val="24"/>
              </w:rPr>
              <w:t>二级指标</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b/>
                <w:bCs/>
                <w:kern w:val="0"/>
                <w:sz w:val="24"/>
                <w:szCs w:val="24"/>
              </w:rPr>
            </w:pPr>
            <w:r>
              <w:rPr>
                <w:rFonts w:hint="eastAsia" w:ascii="宋体" w:hAnsi="宋体" w:eastAsia="宋体" w:cs="Arial"/>
                <w:b/>
                <w:bCs/>
                <w:kern w:val="0"/>
                <w:sz w:val="24"/>
                <w:szCs w:val="24"/>
              </w:rPr>
              <w:t>三级指标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b/>
                <w:bCs/>
                <w:kern w:val="0"/>
                <w:sz w:val="24"/>
                <w:szCs w:val="24"/>
              </w:rPr>
            </w:pPr>
            <w:r>
              <w:rPr>
                <w:rFonts w:hint="eastAsia" w:ascii="宋体" w:hAnsi="宋体" w:eastAsia="宋体" w:cs="Arial"/>
                <w:b/>
                <w:bCs/>
                <w:kern w:val="0"/>
                <w:sz w:val="24"/>
                <w:szCs w:val="24"/>
              </w:rPr>
              <w:t>指标值</w:t>
            </w:r>
          </w:p>
        </w:tc>
      </w:tr>
      <w:tr>
        <w:tblPrEx>
          <w:tblCellMar>
            <w:top w:w="0" w:type="dxa"/>
            <w:left w:w="108" w:type="dxa"/>
            <w:bottom w:w="0" w:type="dxa"/>
            <w:right w:w="108" w:type="dxa"/>
          </w:tblCellMar>
        </w:tblPrEx>
        <w:trPr>
          <w:trHeight w:val="315"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产出指标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数量指标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中等职业学校享受免学费补助人数</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&gt;=1500人(2022)</w:t>
            </w:r>
          </w:p>
        </w:tc>
      </w:tr>
      <w:tr>
        <w:tblPrEx>
          <w:tblCellMar>
            <w:top w:w="0" w:type="dxa"/>
            <w:left w:w="108" w:type="dxa"/>
            <w:bottom w:w="0" w:type="dxa"/>
            <w:right w:w="108" w:type="dxa"/>
          </w:tblCellMar>
        </w:tblPrEx>
        <w:trPr>
          <w:trHeight w:val="31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质量指标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建档立卡家庭学生免学费补助覆盖率</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=100%(2022)</w:t>
            </w:r>
          </w:p>
        </w:tc>
      </w:tr>
      <w:tr>
        <w:tblPrEx>
          <w:tblCellMar>
            <w:top w:w="0" w:type="dxa"/>
            <w:left w:w="108" w:type="dxa"/>
            <w:bottom w:w="0" w:type="dxa"/>
            <w:right w:w="108" w:type="dxa"/>
          </w:tblCellMar>
        </w:tblPrEx>
        <w:trPr>
          <w:trHeight w:val="31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时效指标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免学费资金及时足额拨付到市本级公办、民办中等职业学校</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及时(2022)</w:t>
            </w:r>
          </w:p>
        </w:tc>
      </w:tr>
      <w:tr>
        <w:tblPrEx>
          <w:tblCellMar>
            <w:top w:w="0" w:type="dxa"/>
            <w:left w:w="108" w:type="dxa"/>
            <w:bottom w:w="0" w:type="dxa"/>
            <w:right w:w="108" w:type="dxa"/>
          </w:tblCellMar>
        </w:tblPrEx>
        <w:trPr>
          <w:trHeight w:val="31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成本指标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中职学校免学费补助每学年人均补助金额</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&gt;=850元(2022)</w:t>
            </w:r>
          </w:p>
        </w:tc>
      </w:tr>
      <w:tr>
        <w:tblPrEx>
          <w:tblCellMar>
            <w:top w:w="0" w:type="dxa"/>
            <w:left w:w="108" w:type="dxa"/>
            <w:bottom w:w="0" w:type="dxa"/>
            <w:right w:w="108" w:type="dxa"/>
          </w:tblCellMar>
        </w:tblPrEx>
        <w:trPr>
          <w:trHeight w:val="63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效益指标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经济效益指标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　</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　</w:t>
            </w:r>
          </w:p>
        </w:tc>
      </w:tr>
      <w:tr>
        <w:tblPrEx>
          <w:tblCellMar>
            <w:top w:w="0" w:type="dxa"/>
            <w:left w:w="108" w:type="dxa"/>
            <w:bottom w:w="0" w:type="dxa"/>
            <w:right w:w="108" w:type="dxa"/>
          </w:tblCellMar>
        </w:tblPrEx>
        <w:trPr>
          <w:trHeight w:val="6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社会效益指标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减轻建档立卡等贫困家庭教育负担，不让学生因家庭经济困难而失学</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有效(2022)</w:t>
            </w:r>
          </w:p>
        </w:tc>
      </w:tr>
      <w:tr>
        <w:tblPrEx>
          <w:tblCellMar>
            <w:top w:w="0" w:type="dxa"/>
            <w:left w:w="108" w:type="dxa"/>
            <w:bottom w:w="0" w:type="dxa"/>
            <w:right w:w="108" w:type="dxa"/>
          </w:tblCellMar>
        </w:tblPrEx>
        <w:trPr>
          <w:trHeight w:val="6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生态效益指标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　</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　</w:t>
            </w:r>
          </w:p>
        </w:tc>
      </w:tr>
      <w:tr>
        <w:tblPrEx>
          <w:tblCellMar>
            <w:top w:w="0" w:type="dxa"/>
            <w:left w:w="108" w:type="dxa"/>
            <w:bottom w:w="0" w:type="dxa"/>
            <w:right w:w="108" w:type="dxa"/>
          </w:tblCellMar>
        </w:tblPrEx>
        <w:trPr>
          <w:trHeight w:val="6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可持续影响指标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　</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　</w:t>
            </w:r>
          </w:p>
        </w:tc>
      </w:tr>
      <w:tr>
        <w:tblPrEx>
          <w:tblCellMar>
            <w:top w:w="0" w:type="dxa"/>
            <w:left w:w="108" w:type="dxa"/>
            <w:bottom w:w="0" w:type="dxa"/>
            <w:right w:w="108" w:type="dxa"/>
          </w:tblCellMar>
        </w:tblPrEx>
        <w:trPr>
          <w:trHeight w:val="63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满意度指标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学校资助中心投诉率</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=0%(2022)</w:t>
            </w:r>
          </w:p>
        </w:tc>
      </w:tr>
    </w:tbl>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二、202</w:t>
      </w:r>
      <w:r>
        <w:rPr>
          <w:rFonts w:ascii="仿宋_GB2312" w:hAnsi="仿宋" w:eastAsia="仿宋_GB2312" w:cs="Tahoma"/>
          <w:b/>
          <w:kern w:val="0"/>
          <w:sz w:val="32"/>
          <w:szCs w:val="32"/>
        </w:rPr>
        <w:t>2</w:t>
      </w:r>
      <w:r>
        <w:rPr>
          <w:rFonts w:hint="eastAsia" w:ascii="仿宋_GB2312" w:hAnsi="仿宋" w:eastAsia="仿宋_GB2312" w:cs="Tahoma"/>
          <w:b/>
          <w:kern w:val="0"/>
          <w:sz w:val="32"/>
          <w:szCs w:val="32"/>
        </w:rPr>
        <w:t>年“三公”经费预算情况说明</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202</w:t>
      </w:r>
      <w:r>
        <w:rPr>
          <w:rFonts w:ascii="仿宋_GB2312" w:hAnsi="仿宋" w:eastAsia="仿宋_GB2312" w:cs="Tahoma"/>
          <w:kern w:val="0"/>
          <w:sz w:val="32"/>
          <w:szCs w:val="32"/>
        </w:rPr>
        <w:t>2</w:t>
      </w:r>
      <w:r>
        <w:rPr>
          <w:rFonts w:hint="eastAsia" w:ascii="仿宋_GB2312" w:hAnsi="仿宋" w:eastAsia="仿宋_GB2312" w:cs="Tahoma"/>
          <w:kern w:val="0"/>
          <w:sz w:val="32"/>
          <w:szCs w:val="32"/>
        </w:rPr>
        <w:t>年我院</w:t>
      </w:r>
      <w:r>
        <w:rPr>
          <w:rFonts w:hint="eastAsia" w:ascii="仿宋_GB2312" w:eastAsia="仿宋_GB2312"/>
          <w:sz w:val="32"/>
          <w:szCs w:val="32"/>
        </w:rPr>
        <w:t>“三公”经费</w:t>
      </w:r>
      <w:r>
        <w:rPr>
          <w:rFonts w:hint="eastAsia" w:ascii="仿宋_GB2312" w:hAnsi="仿宋" w:eastAsia="仿宋_GB2312" w:cs="Tahoma"/>
          <w:kern w:val="0"/>
          <w:sz w:val="32"/>
          <w:szCs w:val="32"/>
        </w:rPr>
        <w:t>预算</w:t>
      </w:r>
      <w:r>
        <w:rPr>
          <w:rFonts w:hint="eastAsia" w:ascii="仿宋_GB2312" w:hAnsi="仿宋" w:eastAsia="仿宋_GB2312" w:cs="Tahoma"/>
          <w:kern w:val="0"/>
          <w:sz w:val="32"/>
          <w:szCs w:val="32"/>
          <w:lang w:val="en-US" w:eastAsia="zh-CN"/>
        </w:rPr>
        <w:t>一般公共预算</w:t>
      </w:r>
      <w:r>
        <w:rPr>
          <w:rFonts w:hint="eastAsia" w:ascii="仿宋_GB2312" w:hAnsi="仿宋" w:eastAsia="仿宋_GB2312" w:cs="Tahoma"/>
          <w:kern w:val="0"/>
          <w:sz w:val="32"/>
          <w:szCs w:val="32"/>
        </w:rPr>
        <w:t>安排</w:t>
      </w:r>
      <w:r>
        <w:rPr>
          <w:rFonts w:hint="eastAsia" w:ascii="仿宋_GB2312" w:hAnsi="仿宋" w:eastAsia="仿宋_GB2312" w:cs="Tahoma"/>
          <w:kern w:val="0"/>
          <w:sz w:val="32"/>
          <w:szCs w:val="32"/>
          <w:lang w:val="en-US" w:eastAsia="zh-CN"/>
        </w:rPr>
        <w:t>0</w:t>
      </w:r>
      <w:r>
        <w:rPr>
          <w:rFonts w:hint="eastAsia" w:ascii="仿宋_GB2312" w:hAnsi="仿宋" w:eastAsia="仿宋_GB2312" w:cs="Tahoma"/>
          <w:kern w:val="0"/>
          <w:sz w:val="32"/>
          <w:szCs w:val="32"/>
        </w:rPr>
        <w:t>万元其中：</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公务接待费</w:t>
      </w:r>
      <w:r>
        <w:rPr>
          <w:rFonts w:hint="eastAsia" w:ascii="仿宋_GB2312" w:hAnsi="仿宋" w:eastAsia="仿宋_GB2312" w:cs="Tahoma"/>
          <w:kern w:val="0"/>
          <w:sz w:val="32"/>
          <w:szCs w:val="32"/>
          <w:lang w:val="en-US" w:eastAsia="zh-CN"/>
        </w:rPr>
        <w:t>0</w:t>
      </w:r>
      <w:r>
        <w:rPr>
          <w:rFonts w:hint="eastAsia" w:ascii="仿宋_GB2312" w:hAnsi="仿宋" w:eastAsia="仿宋_GB2312" w:cs="Tahoma"/>
          <w:kern w:val="0"/>
          <w:sz w:val="32"/>
          <w:szCs w:val="32"/>
        </w:rPr>
        <w:t>万元，,较上年预算无变化；</w:t>
      </w:r>
    </w:p>
    <w:p>
      <w:pPr>
        <w:ind w:firstLine="640" w:firstLineChars="200"/>
        <w:rPr>
          <w:rFonts w:hint="default" w:ascii="仿宋_GB2312" w:hAnsi="仿宋" w:eastAsia="仿宋_GB2312" w:cs="Tahoma"/>
          <w:kern w:val="0"/>
          <w:sz w:val="32"/>
          <w:szCs w:val="32"/>
          <w:lang w:val="en-US" w:eastAsia="zh-CN"/>
        </w:rPr>
      </w:pPr>
      <w:r>
        <w:rPr>
          <w:rFonts w:hint="eastAsia" w:ascii="仿宋_GB2312" w:hAnsi="仿宋" w:eastAsia="仿宋_GB2312" w:cs="Tahoma"/>
          <w:kern w:val="0"/>
          <w:sz w:val="32"/>
          <w:szCs w:val="32"/>
        </w:rPr>
        <w:t>公务用车运行维护费</w:t>
      </w:r>
      <w:r>
        <w:rPr>
          <w:rFonts w:hint="eastAsia" w:ascii="仿宋_GB2312" w:hAnsi="仿宋" w:eastAsia="仿宋_GB2312" w:cs="Tahoma"/>
          <w:kern w:val="0"/>
          <w:sz w:val="32"/>
          <w:szCs w:val="32"/>
          <w:lang w:val="en-US" w:eastAsia="zh-CN"/>
        </w:rPr>
        <w:t>0</w:t>
      </w:r>
      <w:r>
        <w:rPr>
          <w:rFonts w:hint="eastAsia" w:ascii="仿宋_GB2312" w:hAnsi="仿宋" w:eastAsia="仿宋_GB2312" w:cs="Tahoma"/>
          <w:kern w:val="0"/>
          <w:sz w:val="32"/>
          <w:szCs w:val="32"/>
        </w:rPr>
        <w:t>万元,较上年预算</w:t>
      </w:r>
      <w:r>
        <w:rPr>
          <w:rFonts w:hint="eastAsia" w:ascii="仿宋_GB2312" w:hAnsi="仿宋" w:eastAsia="仿宋_GB2312" w:cs="Tahoma"/>
          <w:kern w:val="0"/>
          <w:sz w:val="32"/>
          <w:szCs w:val="32"/>
          <w:lang w:val="en-US" w:eastAsia="zh-CN"/>
        </w:rPr>
        <w:t>减少3万元，主要原因是 公务用车运行维护费预算编入教育收费。</w:t>
      </w:r>
    </w:p>
    <w:p>
      <w:pPr>
        <w:widowControl/>
        <w:spacing w:line="580" w:lineRule="exact"/>
        <w:ind w:firstLine="640"/>
        <w:jc w:val="left"/>
        <w:rPr>
          <w:rFonts w:hint="eastAsia" w:ascii="仿宋_GB2312" w:hAnsi="仿宋" w:eastAsia="仿宋_GB2312" w:cs="Tahoma"/>
          <w:kern w:val="0"/>
          <w:sz w:val="32"/>
          <w:szCs w:val="32"/>
          <w:lang w:val="en-US" w:eastAsia="zh-CN"/>
        </w:rPr>
      </w:pPr>
      <w:r>
        <w:rPr>
          <w:rFonts w:hint="eastAsia" w:ascii="仿宋_GB2312" w:hAnsi="仿宋" w:eastAsia="仿宋_GB2312" w:cs="Tahoma"/>
          <w:kern w:val="0"/>
          <w:sz w:val="32"/>
          <w:szCs w:val="32"/>
        </w:rPr>
        <w:t>公务用车购置费</w:t>
      </w:r>
      <w:r>
        <w:rPr>
          <w:rFonts w:hint="eastAsia" w:ascii="仿宋_GB2312" w:hAnsi="仿宋" w:eastAsia="仿宋_GB2312" w:cs="Tahoma"/>
          <w:kern w:val="0"/>
          <w:sz w:val="32"/>
          <w:szCs w:val="32"/>
          <w:lang w:val="en-US" w:eastAsia="zh-CN"/>
        </w:rPr>
        <w:t>0</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与上年保持一致。</w:t>
      </w:r>
    </w:p>
    <w:p>
      <w:pPr>
        <w:widowControl/>
        <w:spacing w:line="580" w:lineRule="exact"/>
        <w:ind w:firstLine="640"/>
        <w:jc w:val="left"/>
        <w:rPr>
          <w:rFonts w:hint="default" w:ascii="仿宋_GB2312" w:hAnsi="仿宋" w:eastAsia="仿宋_GB2312" w:cs="Tahoma"/>
          <w:kern w:val="0"/>
          <w:sz w:val="32"/>
          <w:szCs w:val="32"/>
          <w:lang w:val="en-US" w:eastAsia="zh-CN"/>
        </w:rPr>
      </w:pPr>
    </w:p>
    <w:p>
      <w:pPr>
        <w:rPr>
          <w:rFonts w:hint="eastAsia" w:ascii="仿宋_GB2312" w:hAnsi="仿宋" w:eastAsia="仿宋_GB2312" w:cs="Tahoma"/>
          <w:kern w:val="0"/>
          <w:sz w:val="28"/>
          <w:szCs w:val="28"/>
        </w:rPr>
      </w:pPr>
    </w:p>
    <w:p>
      <w:pPr>
        <w:ind w:firstLine="643" w:firstLineChars="200"/>
        <w:jc w:val="center"/>
        <w:rPr>
          <w:rFonts w:ascii="仿宋_GB2312" w:hAnsi="仿宋" w:eastAsia="仿宋_GB2312" w:cs="Tahoma"/>
          <w:kern w:val="0"/>
          <w:sz w:val="32"/>
          <w:szCs w:val="32"/>
        </w:rPr>
      </w:pPr>
      <w:r>
        <w:rPr>
          <w:rFonts w:hint="eastAsia" w:ascii="仿宋_GB2312" w:hAnsi="仿宋" w:eastAsia="仿宋_GB2312" w:cs="Tahoma"/>
          <w:b/>
          <w:bCs/>
          <w:kern w:val="0"/>
          <w:sz w:val="32"/>
          <w:szCs w:val="32"/>
        </w:rPr>
        <w:t>第三部分  江西婺源茶业职业学院2</w:t>
      </w:r>
      <w:r>
        <w:rPr>
          <w:rFonts w:ascii="仿宋_GB2312" w:hAnsi="仿宋" w:eastAsia="仿宋_GB2312" w:cs="Tahoma"/>
          <w:b/>
          <w:bCs/>
          <w:kern w:val="0"/>
          <w:sz w:val="32"/>
          <w:szCs w:val="32"/>
        </w:rPr>
        <w:t>022</w:t>
      </w:r>
      <w:r>
        <w:rPr>
          <w:rFonts w:hint="eastAsia" w:ascii="仿宋_GB2312" w:hAnsi="仿宋" w:eastAsia="仿宋_GB2312" w:cs="Tahoma"/>
          <w:b/>
          <w:bCs/>
          <w:kern w:val="0"/>
          <w:sz w:val="32"/>
          <w:szCs w:val="32"/>
        </w:rPr>
        <w:t>年部门预算表</w:t>
      </w:r>
    </w:p>
    <w:p>
      <w:pPr>
        <w:widowControl/>
        <w:spacing w:line="580" w:lineRule="exact"/>
        <w:ind w:firstLine="640" w:firstLineChars="200"/>
        <w:jc w:val="left"/>
        <w:rPr>
          <w:rFonts w:hint="eastAsia" w:ascii="仿宋_GB2312" w:eastAsia="仿宋_GB2312"/>
          <w:b/>
          <w:sz w:val="32"/>
          <w:szCs w:val="30"/>
        </w:rPr>
      </w:pPr>
      <w:r>
        <w:rPr>
          <w:rFonts w:hint="eastAsia" w:ascii="仿宋_GB2312" w:eastAsia="仿宋_GB2312"/>
          <w:sz w:val="32"/>
          <w:szCs w:val="30"/>
        </w:rPr>
        <w:t>十一张表（详见附表）</w:t>
      </w:r>
    </w:p>
    <w:p>
      <w:pPr>
        <w:widowControl/>
        <w:ind w:firstLine="640"/>
        <w:jc w:val="center"/>
        <w:rPr>
          <w:rFonts w:ascii="仿宋_GB2312" w:hAnsi="仿宋" w:eastAsia="仿宋_GB2312"/>
          <w:b/>
          <w:sz w:val="32"/>
          <w:szCs w:val="32"/>
        </w:rPr>
      </w:pPr>
      <w:r>
        <w:rPr>
          <w:rFonts w:hint="eastAsia" w:ascii="仿宋_GB2312" w:hAnsi="仿宋" w:eastAsia="仿宋_GB2312"/>
          <w:b/>
          <w:sz w:val="32"/>
          <w:szCs w:val="32"/>
        </w:rPr>
        <w:t>第四部分   名词解释</w:t>
      </w:r>
    </w:p>
    <w:p>
      <w:pPr>
        <w:widowControl/>
        <w:ind w:firstLine="643" w:firstLineChars="200"/>
        <w:jc w:val="left"/>
        <w:rPr>
          <w:rFonts w:ascii="仿宋_GB2312" w:hAnsi="仿宋" w:eastAsia="仿宋_GB2312"/>
          <w:b/>
          <w:sz w:val="32"/>
          <w:szCs w:val="32"/>
        </w:rPr>
      </w:pPr>
      <w:r>
        <w:rPr>
          <w:rFonts w:hint="eastAsia" w:ascii="仿宋_GB2312" w:hAnsi="仿宋" w:eastAsia="仿宋_GB2312"/>
          <w:b/>
          <w:sz w:val="32"/>
          <w:szCs w:val="32"/>
        </w:rPr>
        <w:t>一、收入科目</w:t>
      </w:r>
    </w:p>
    <w:p>
      <w:pPr>
        <w:widowControl/>
        <w:ind w:firstLine="640"/>
        <w:jc w:val="left"/>
        <w:rPr>
          <w:rFonts w:ascii="仿宋_GB2312" w:hAnsi="仿宋" w:eastAsia="仿宋_GB2312"/>
          <w:sz w:val="32"/>
          <w:szCs w:val="32"/>
        </w:rPr>
      </w:pPr>
      <w:r>
        <w:rPr>
          <w:rFonts w:hint="eastAsia" w:ascii="仿宋_GB2312" w:hAnsi="仿宋" w:eastAsia="仿宋_GB2312"/>
          <w:sz w:val="32"/>
          <w:szCs w:val="32"/>
        </w:rPr>
        <w:t>（一）财政拨款收入：指本年度从本级财政部门取得的财政拨款，包括一般公共预算财政拨款和政府性基金预算财政拨款。</w:t>
      </w:r>
    </w:p>
    <w:p>
      <w:pPr>
        <w:widowControl/>
        <w:ind w:firstLine="636"/>
        <w:jc w:val="left"/>
        <w:rPr>
          <w:rFonts w:ascii="仿宋_GB2312" w:hAnsi="仿宋" w:eastAsia="仿宋_GB2312"/>
          <w:sz w:val="32"/>
          <w:szCs w:val="32"/>
        </w:rPr>
      </w:pPr>
      <w:r>
        <w:rPr>
          <w:rFonts w:hint="eastAsia" w:ascii="仿宋_GB2312" w:hAnsi="仿宋" w:eastAsia="仿宋_GB2312"/>
          <w:sz w:val="32"/>
          <w:szCs w:val="32"/>
        </w:rPr>
        <w:t>（二）事业收入：指事业单位开展专业业务活动及辅助活动取得的收入。</w:t>
      </w:r>
    </w:p>
    <w:p>
      <w:pPr>
        <w:widowControl/>
        <w:ind w:firstLine="636"/>
        <w:jc w:val="left"/>
        <w:rPr>
          <w:rFonts w:ascii="仿宋_GB2312" w:hAnsi="仿宋" w:eastAsia="仿宋_GB2312"/>
          <w:sz w:val="32"/>
          <w:szCs w:val="32"/>
        </w:rPr>
      </w:pPr>
      <w:r>
        <w:rPr>
          <w:rFonts w:hint="eastAsia" w:ascii="仿宋_GB2312" w:hAnsi="仿宋" w:eastAsia="仿宋_GB2312"/>
          <w:sz w:val="32"/>
          <w:szCs w:val="32"/>
        </w:rPr>
        <w:t>（三）事业单位经营收入：指事业单位在专业业务活动及辅助活动之外开展非独立核算经营活动取得的收入。</w:t>
      </w:r>
    </w:p>
    <w:p>
      <w:pPr>
        <w:widowControl/>
        <w:ind w:firstLine="636"/>
        <w:jc w:val="left"/>
        <w:rPr>
          <w:rFonts w:ascii="仿宋_GB2312" w:hAnsi="仿宋" w:eastAsia="仿宋_GB2312"/>
          <w:sz w:val="32"/>
          <w:szCs w:val="32"/>
        </w:rPr>
      </w:pPr>
      <w:r>
        <w:rPr>
          <w:rFonts w:hint="eastAsia" w:ascii="仿宋_GB2312" w:hAnsi="仿宋" w:eastAsia="仿宋_GB2312"/>
          <w:sz w:val="32"/>
          <w:szCs w:val="32"/>
        </w:rPr>
        <w:t>（四）其他收入：指除财政拨款收入、事业收入、事业单位经营收入等以外的各项收入。</w:t>
      </w:r>
    </w:p>
    <w:p>
      <w:pPr>
        <w:ind w:firstLine="640" w:firstLineChars="200"/>
        <w:rPr>
          <w:rFonts w:ascii="仿宋_GB2312" w:hAnsi="仿宋" w:eastAsia="仿宋_GB2312"/>
          <w:sz w:val="32"/>
          <w:szCs w:val="32"/>
        </w:rPr>
      </w:pPr>
      <w:r>
        <w:rPr>
          <w:rFonts w:hint="eastAsia" w:ascii="仿宋_GB2312" w:hAnsi="仿宋" w:eastAsia="仿宋_GB2312"/>
          <w:sz w:val="32"/>
          <w:szCs w:val="32"/>
        </w:rPr>
        <w:t>（五）附属单位上缴收入：反映事业单位附属的独立核算单位按规定标准或比例缴纳的各项收入。包括附属的事业单位上缴的收入和附属的企业上缴的利润等。</w:t>
      </w:r>
    </w:p>
    <w:p>
      <w:pPr>
        <w:ind w:firstLine="640" w:firstLineChars="200"/>
        <w:rPr>
          <w:rFonts w:ascii="仿宋_GB2312" w:hAnsi="仿宋" w:eastAsia="仿宋_GB2312"/>
          <w:sz w:val="32"/>
          <w:szCs w:val="32"/>
        </w:rPr>
      </w:pPr>
      <w:r>
        <w:rPr>
          <w:rFonts w:hint="eastAsia" w:ascii="仿宋_GB2312" w:hAnsi="仿宋" w:eastAsia="仿宋_GB2312"/>
          <w:sz w:val="32"/>
          <w:szCs w:val="32"/>
        </w:rPr>
        <w:t>（六）上级补助收入：反映事业单位从主管部门和上级单位取得的非财政补助收入。</w:t>
      </w:r>
    </w:p>
    <w:p>
      <w:pPr>
        <w:ind w:firstLine="640" w:firstLineChars="200"/>
        <w:rPr>
          <w:rFonts w:ascii="仿宋_GB2312" w:hAnsi="仿宋" w:eastAsia="仿宋_GB2312"/>
          <w:sz w:val="32"/>
          <w:szCs w:val="32"/>
        </w:rPr>
      </w:pPr>
      <w:r>
        <w:rPr>
          <w:rFonts w:hint="eastAsia" w:ascii="仿宋_GB2312" w:hAnsi="仿宋" w:eastAsia="仿宋_GB2312"/>
          <w:sz w:val="32"/>
          <w:szCs w:val="32"/>
        </w:rPr>
        <w:t>（七）用事业基金弥补收支差额：填列事业单位用事业基金弥补202</w:t>
      </w:r>
      <w:r>
        <w:rPr>
          <w:rFonts w:ascii="仿宋_GB2312" w:hAnsi="仿宋" w:eastAsia="仿宋_GB2312"/>
          <w:sz w:val="32"/>
          <w:szCs w:val="32"/>
        </w:rPr>
        <w:t>2</w:t>
      </w:r>
      <w:r>
        <w:rPr>
          <w:rFonts w:hint="eastAsia" w:ascii="仿宋_GB2312" w:hAnsi="仿宋" w:eastAsia="仿宋_GB2312"/>
          <w:sz w:val="32"/>
          <w:szCs w:val="32"/>
        </w:rPr>
        <w:t>年收支差额的数额。</w:t>
      </w:r>
    </w:p>
    <w:p>
      <w:pPr>
        <w:ind w:firstLine="640" w:firstLineChars="200"/>
        <w:rPr>
          <w:rFonts w:ascii="仿宋_GB2312" w:hAnsi="仿宋" w:eastAsia="仿宋_GB2312"/>
          <w:sz w:val="32"/>
          <w:szCs w:val="32"/>
        </w:rPr>
      </w:pPr>
      <w:r>
        <w:rPr>
          <w:rFonts w:hint="eastAsia" w:ascii="仿宋_GB2312" w:hAnsi="仿宋" w:eastAsia="仿宋_GB2312"/>
          <w:sz w:val="32"/>
          <w:szCs w:val="32"/>
        </w:rPr>
        <w:t>（八）上年结转和结余：填列20</w:t>
      </w:r>
      <w:r>
        <w:rPr>
          <w:rFonts w:ascii="仿宋_GB2312" w:hAnsi="仿宋" w:eastAsia="仿宋_GB2312"/>
          <w:sz w:val="32"/>
          <w:szCs w:val="32"/>
        </w:rPr>
        <w:t>21</w:t>
      </w:r>
      <w:r>
        <w:rPr>
          <w:rFonts w:hint="eastAsia" w:ascii="仿宋_GB2312" w:hAnsi="仿宋" w:eastAsia="仿宋_GB2312"/>
          <w:sz w:val="32"/>
          <w:szCs w:val="32"/>
        </w:rPr>
        <w:t>年全部结转和结余的资金数，包括当年结转结余资金和历年滚存结转结余资金。</w:t>
      </w:r>
    </w:p>
    <w:p>
      <w:pPr>
        <w:widowControl/>
        <w:ind w:firstLine="640"/>
        <w:jc w:val="left"/>
        <w:rPr>
          <w:rFonts w:ascii="仿宋_GB2312" w:hAnsi="仿宋" w:eastAsia="仿宋_GB2312"/>
          <w:b/>
          <w:sz w:val="32"/>
          <w:szCs w:val="32"/>
        </w:rPr>
      </w:pPr>
      <w:r>
        <w:rPr>
          <w:rFonts w:hint="eastAsia" w:ascii="仿宋_GB2312" w:hAnsi="仿宋" w:eastAsia="仿宋_GB2312"/>
          <w:b/>
          <w:sz w:val="32"/>
          <w:szCs w:val="32"/>
        </w:rPr>
        <w:t>二、支出科目</w:t>
      </w:r>
    </w:p>
    <w:p>
      <w:pPr>
        <w:autoSpaceDE w:val="0"/>
        <w:autoSpaceDN w:val="0"/>
        <w:adjustRightInd w:val="0"/>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教育支出：职业教育（款）高等职业教育（项）：反映各部门举办的本科、专科层次职业教育支出。政府各部门对社会组织等举办的本科、专科层次职业院校的资助，如捐赠、补贴等，也在本科目中反映。</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三、部门涉及的专业名词</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无</w:t>
      </w:r>
    </w:p>
    <w:p>
      <w:pPr>
        <w:autoSpaceDE w:val="0"/>
        <w:autoSpaceDN w:val="0"/>
        <w:adjustRightInd w:val="0"/>
        <w:ind w:firstLine="560" w:firstLineChars="200"/>
        <w:jc w:val="left"/>
        <w:rPr>
          <w:rFonts w:hint="eastAsia" w:ascii="仿宋_GB2312" w:hAnsi="仿宋" w:eastAsia="仿宋_GB2312" w:cs="仿宋_GB2312"/>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dobe 仿宋 Std R">
    <w:altName w:val="仿宋"/>
    <w:panose1 w:val="00000000000000000000"/>
    <w:charset w:val="86"/>
    <w:family w:val="roman"/>
    <w:pitch w:val="default"/>
    <w:sig w:usb0="00000000" w:usb1="00000000" w:usb2="00000016" w:usb3="00000000" w:csb0="00060007" w:csb1="00000000"/>
  </w:font>
  <w:font w:name="方正小标宋简体">
    <w:altName w:val="方正舒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IxMmVlNzA3NDAyNWIzZWQxMGM3YTA3M2I4OWExM2IifQ=="/>
  </w:docVars>
  <w:rsids>
    <w:rsidRoot w:val="003A72CD"/>
    <w:rsid w:val="00030DA5"/>
    <w:rsid w:val="000616CA"/>
    <w:rsid w:val="000942B7"/>
    <w:rsid w:val="000969AD"/>
    <w:rsid w:val="000A255F"/>
    <w:rsid w:val="000B5120"/>
    <w:rsid w:val="000B5212"/>
    <w:rsid w:val="000D27D2"/>
    <w:rsid w:val="000D7884"/>
    <w:rsid w:val="00121F6C"/>
    <w:rsid w:val="00143955"/>
    <w:rsid w:val="001625C3"/>
    <w:rsid w:val="00165D7B"/>
    <w:rsid w:val="001755B8"/>
    <w:rsid w:val="001A785F"/>
    <w:rsid w:val="001C0009"/>
    <w:rsid w:val="001D16A7"/>
    <w:rsid w:val="001E0E1E"/>
    <w:rsid w:val="001E39AF"/>
    <w:rsid w:val="001E6895"/>
    <w:rsid w:val="0021539C"/>
    <w:rsid w:val="00232CB9"/>
    <w:rsid w:val="002528C0"/>
    <w:rsid w:val="00294366"/>
    <w:rsid w:val="002A2C0C"/>
    <w:rsid w:val="002A49F5"/>
    <w:rsid w:val="002C0DBC"/>
    <w:rsid w:val="002C4128"/>
    <w:rsid w:val="0032464C"/>
    <w:rsid w:val="00330036"/>
    <w:rsid w:val="00334F59"/>
    <w:rsid w:val="0034588E"/>
    <w:rsid w:val="0038717E"/>
    <w:rsid w:val="003A72CD"/>
    <w:rsid w:val="003B3E25"/>
    <w:rsid w:val="003D75DA"/>
    <w:rsid w:val="00424F2E"/>
    <w:rsid w:val="00476D39"/>
    <w:rsid w:val="0049279B"/>
    <w:rsid w:val="004C188D"/>
    <w:rsid w:val="004C1E03"/>
    <w:rsid w:val="004C7DDB"/>
    <w:rsid w:val="004D2D5C"/>
    <w:rsid w:val="00502C67"/>
    <w:rsid w:val="005123C7"/>
    <w:rsid w:val="005923B9"/>
    <w:rsid w:val="005B3952"/>
    <w:rsid w:val="005D55AE"/>
    <w:rsid w:val="005E3AE5"/>
    <w:rsid w:val="005F5D6D"/>
    <w:rsid w:val="006027DB"/>
    <w:rsid w:val="006070E1"/>
    <w:rsid w:val="006130B6"/>
    <w:rsid w:val="00667FB1"/>
    <w:rsid w:val="00676087"/>
    <w:rsid w:val="006C7772"/>
    <w:rsid w:val="006D4247"/>
    <w:rsid w:val="006E15FE"/>
    <w:rsid w:val="006E5C9E"/>
    <w:rsid w:val="00710CE2"/>
    <w:rsid w:val="0071759A"/>
    <w:rsid w:val="007514BC"/>
    <w:rsid w:val="007600C5"/>
    <w:rsid w:val="0076115B"/>
    <w:rsid w:val="00767844"/>
    <w:rsid w:val="0077553D"/>
    <w:rsid w:val="007970B9"/>
    <w:rsid w:val="007C6CAE"/>
    <w:rsid w:val="007E13E2"/>
    <w:rsid w:val="00825652"/>
    <w:rsid w:val="00826D21"/>
    <w:rsid w:val="0083413A"/>
    <w:rsid w:val="008512F4"/>
    <w:rsid w:val="00853C4D"/>
    <w:rsid w:val="008A2B14"/>
    <w:rsid w:val="008D2F17"/>
    <w:rsid w:val="008F0849"/>
    <w:rsid w:val="00914BDC"/>
    <w:rsid w:val="00923B5F"/>
    <w:rsid w:val="009241B6"/>
    <w:rsid w:val="00931C19"/>
    <w:rsid w:val="009350D7"/>
    <w:rsid w:val="00940A11"/>
    <w:rsid w:val="00944932"/>
    <w:rsid w:val="009659EE"/>
    <w:rsid w:val="00966953"/>
    <w:rsid w:val="009725C0"/>
    <w:rsid w:val="00985416"/>
    <w:rsid w:val="0098701E"/>
    <w:rsid w:val="009F12B0"/>
    <w:rsid w:val="00A0263A"/>
    <w:rsid w:val="00A3307B"/>
    <w:rsid w:val="00A41573"/>
    <w:rsid w:val="00A460F8"/>
    <w:rsid w:val="00A63285"/>
    <w:rsid w:val="00A77DDC"/>
    <w:rsid w:val="00AC2118"/>
    <w:rsid w:val="00AC6207"/>
    <w:rsid w:val="00B44813"/>
    <w:rsid w:val="00B45D54"/>
    <w:rsid w:val="00B53E5A"/>
    <w:rsid w:val="00BC281B"/>
    <w:rsid w:val="00C22E3F"/>
    <w:rsid w:val="00C671CB"/>
    <w:rsid w:val="00C96932"/>
    <w:rsid w:val="00CA4837"/>
    <w:rsid w:val="00CE6AB4"/>
    <w:rsid w:val="00D074CA"/>
    <w:rsid w:val="00D455FF"/>
    <w:rsid w:val="00D55894"/>
    <w:rsid w:val="00D901F4"/>
    <w:rsid w:val="00D91D65"/>
    <w:rsid w:val="00D92661"/>
    <w:rsid w:val="00DE22EF"/>
    <w:rsid w:val="00DF44E1"/>
    <w:rsid w:val="00DF76D0"/>
    <w:rsid w:val="00E276FE"/>
    <w:rsid w:val="00E56208"/>
    <w:rsid w:val="00E90E40"/>
    <w:rsid w:val="00ED7BB6"/>
    <w:rsid w:val="00F036C9"/>
    <w:rsid w:val="00F20446"/>
    <w:rsid w:val="00F40788"/>
    <w:rsid w:val="00F811BB"/>
    <w:rsid w:val="00F95C02"/>
    <w:rsid w:val="00F97A0F"/>
    <w:rsid w:val="00FA0D36"/>
    <w:rsid w:val="01161381"/>
    <w:rsid w:val="0127533C"/>
    <w:rsid w:val="0159126E"/>
    <w:rsid w:val="01761E20"/>
    <w:rsid w:val="02B250DA"/>
    <w:rsid w:val="02C72207"/>
    <w:rsid w:val="03577A2F"/>
    <w:rsid w:val="035B12CD"/>
    <w:rsid w:val="036208AE"/>
    <w:rsid w:val="03E272F9"/>
    <w:rsid w:val="04194CE4"/>
    <w:rsid w:val="0462668B"/>
    <w:rsid w:val="05BE3D95"/>
    <w:rsid w:val="05DE1D42"/>
    <w:rsid w:val="061F2A86"/>
    <w:rsid w:val="062067FE"/>
    <w:rsid w:val="063D115E"/>
    <w:rsid w:val="0680104B"/>
    <w:rsid w:val="07373DFF"/>
    <w:rsid w:val="082D0D5E"/>
    <w:rsid w:val="0AE4604C"/>
    <w:rsid w:val="0C324B95"/>
    <w:rsid w:val="0D6671EC"/>
    <w:rsid w:val="0E407A3D"/>
    <w:rsid w:val="0E572FD9"/>
    <w:rsid w:val="0E5E4367"/>
    <w:rsid w:val="0EC57F43"/>
    <w:rsid w:val="0EEA1757"/>
    <w:rsid w:val="0F865924"/>
    <w:rsid w:val="106D43EE"/>
    <w:rsid w:val="107C0AD5"/>
    <w:rsid w:val="11712E34"/>
    <w:rsid w:val="11AE1162"/>
    <w:rsid w:val="11DC5CCF"/>
    <w:rsid w:val="13654553"/>
    <w:rsid w:val="13806B2E"/>
    <w:rsid w:val="13A445CA"/>
    <w:rsid w:val="13ED41C3"/>
    <w:rsid w:val="14902DA1"/>
    <w:rsid w:val="14A405FA"/>
    <w:rsid w:val="16502C55"/>
    <w:rsid w:val="177B1AE6"/>
    <w:rsid w:val="183D3240"/>
    <w:rsid w:val="188D7D23"/>
    <w:rsid w:val="18D55226"/>
    <w:rsid w:val="19185113"/>
    <w:rsid w:val="195B1BCF"/>
    <w:rsid w:val="19B27315"/>
    <w:rsid w:val="1B03607B"/>
    <w:rsid w:val="1B487F31"/>
    <w:rsid w:val="1B974A15"/>
    <w:rsid w:val="1BCB29BD"/>
    <w:rsid w:val="1C4921B3"/>
    <w:rsid w:val="1C99656B"/>
    <w:rsid w:val="1D2D3883"/>
    <w:rsid w:val="1D8611E5"/>
    <w:rsid w:val="1DDC0E05"/>
    <w:rsid w:val="1E9F255E"/>
    <w:rsid w:val="1F51312D"/>
    <w:rsid w:val="1F6E0BF0"/>
    <w:rsid w:val="20016901"/>
    <w:rsid w:val="205E3D53"/>
    <w:rsid w:val="213B5E42"/>
    <w:rsid w:val="2188552B"/>
    <w:rsid w:val="21CF4F08"/>
    <w:rsid w:val="21DC272C"/>
    <w:rsid w:val="222F3BF9"/>
    <w:rsid w:val="22325497"/>
    <w:rsid w:val="22513B6F"/>
    <w:rsid w:val="22993768"/>
    <w:rsid w:val="22E03145"/>
    <w:rsid w:val="23DC1B5F"/>
    <w:rsid w:val="23DC390D"/>
    <w:rsid w:val="251D41DD"/>
    <w:rsid w:val="267C3185"/>
    <w:rsid w:val="269E759F"/>
    <w:rsid w:val="26FE1DEC"/>
    <w:rsid w:val="272C6959"/>
    <w:rsid w:val="27934C2A"/>
    <w:rsid w:val="27EB411E"/>
    <w:rsid w:val="281D62A2"/>
    <w:rsid w:val="291678C1"/>
    <w:rsid w:val="29A24CB1"/>
    <w:rsid w:val="29F25A7E"/>
    <w:rsid w:val="2AD90BA6"/>
    <w:rsid w:val="2B163BA8"/>
    <w:rsid w:val="2B732DA8"/>
    <w:rsid w:val="2BAA42F0"/>
    <w:rsid w:val="2BC52ED8"/>
    <w:rsid w:val="2CCB451E"/>
    <w:rsid w:val="2CD755B9"/>
    <w:rsid w:val="2CF0667B"/>
    <w:rsid w:val="2DAE631A"/>
    <w:rsid w:val="2E494294"/>
    <w:rsid w:val="2F665C98"/>
    <w:rsid w:val="2FCB35F2"/>
    <w:rsid w:val="30313232"/>
    <w:rsid w:val="30C6397A"/>
    <w:rsid w:val="314825E1"/>
    <w:rsid w:val="31CD6F8B"/>
    <w:rsid w:val="31E340B8"/>
    <w:rsid w:val="327D275F"/>
    <w:rsid w:val="32B1065A"/>
    <w:rsid w:val="33064502"/>
    <w:rsid w:val="33121FBB"/>
    <w:rsid w:val="33BC1065"/>
    <w:rsid w:val="33EC194A"/>
    <w:rsid w:val="34D16D92"/>
    <w:rsid w:val="351F7AFD"/>
    <w:rsid w:val="35C3492C"/>
    <w:rsid w:val="36D16BD5"/>
    <w:rsid w:val="3778795A"/>
    <w:rsid w:val="380A6843"/>
    <w:rsid w:val="385850D0"/>
    <w:rsid w:val="38B90269"/>
    <w:rsid w:val="399F745E"/>
    <w:rsid w:val="3A683CF4"/>
    <w:rsid w:val="3A936B23"/>
    <w:rsid w:val="3BDA29D0"/>
    <w:rsid w:val="3BFC2946"/>
    <w:rsid w:val="3C236125"/>
    <w:rsid w:val="3C88242C"/>
    <w:rsid w:val="3D2F0AF9"/>
    <w:rsid w:val="3D5440BC"/>
    <w:rsid w:val="3DB1150E"/>
    <w:rsid w:val="3E263CAA"/>
    <w:rsid w:val="3E5720B6"/>
    <w:rsid w:val="3E9A01F4"/>
    <w:rsid w:val="3EAD1CD6"/>
    <w:rsid w:val="3EE6168C"/>
    <w:rsid w:val="3F982986"/>
    <w:rsid w:val="3F9B29AE"/>
    <w:rsid w:val="3FDD2A8F"/>
    <w:rsid w:val="40381A73"/>
    <w:rsid w:val="418A27A2"/>
    <w:rsid w:val="41967399"/>
    <w:rsid w:val="420662CD"/>
    <w:rsid w:val="42BE0955"/>
    <w:rsid w:val="42E47C90"/>
    <w:rsid w:val="43702C01"/>
    <w:rsid w:val="43F108B7"/>
    <w:rsid w:val="43FB08B5"/>
    <w:rsid w:val="446217B4"/>
    <w:rsid w:val="44827761"/>
    <w:rsid w:val="45440EBA"/>
    <w:rsid w:val="45F96148"/>
    <w:rsid w:val="46841EB6"/>
    <w:rsid w:val="4729480B"/>
    <w:rsid w:val="477F1E7E"/>
    <w:rsid w:val="47AB6FCE"/>
    <w:rsid w:val="47C50090"/>
    <w:rsid w:val="48E44E8E"/>
    <w:rsid w:val="497C0C22"/>
    <w:rsid w:val="49BC54C3"/>
    <w:rsid w:val="49C64593"/>
    <w:rsid w:val="49ED7D72"/>
    <w:rsid w:val="4AAC19DB"/>
    <w:rsid w:val="4B4B4D50"/>
    <w:rsid w:val="4B647BC0"/>
    <w:rsid w:val="4C6D6562"/>
    <w:rsid w:val="4DAE0576"/>
    <w:rsid w:val="4EED611E"/>
    <w:rsid w:val="502B5150"/>
    <w:rsid w:val="5066262C"/>
    <w:rsid w:val="50AF7B2F"/>
    <w:rsid w:val="513242BC"/>
    <w:rsid w:val="515E50B1"/>
    <w:rsid w:val="519D5BDA"/>
    <w:rsid w:val="51A00091"/>
    <w:rsid w:val="52020133"/>
    <w:rsid w:val="52E31D12"/>
    <w:rsid w:val="53582700"/>
    <w:rsid w:val="53F51CFD"/>
    <w:rsid w:val="55690BF5"/>
    <w:rsid w:val="55915A56"/>
    <w:rsid w:val="56C02A96"/>
    <w:rsid w:val="574D00A2"/>
    <w:rsid w:val="580E5A83"/>
    <w:rsid w:val="585B2135"/>
    <w:rsid w:val="58607961"/>
    <w:rsid w:val="58D3067D"/>
    <w:rsid w:val="595474C6"/>
    <w:rsid w:val="59C77C98"/>
    <w:rsid w:val="5A2E41BB"/>
    <w:rsid w:val="5A504131"/>
    <w:rsid w:val="5AAB1367"/>
    <w:rsid w:val="5BA87F9D"/>
    <w:rsid w:val="5C6A7000"/>
    <w:rsid w:val="5C7E4AD8"/>
    <w:rsid w:val="5CFD7E74"/>
    <w:rsid w:val="5D086F45"/>
    <w:rsid w:val="5ECA3D86"/>
    <w:rsid w:val="5F660673"/>
    <w:rsid w:val="5F7A1C50"/>
    <w:rsid w:val="60251BBC"/>
    <w:rsid w:val="60824919"/>
    <w:rsid w:val="613100ED"/>
    <w:rsid w:val="61CB0541"/>
    <w:rsid w:val="61E23A36"/>
    <w:rsid w:val="61EF4230"/>
    <w:rsid w:val="621023F8"/>
    <w:rsid w:val="621E68C3"/>
    <w:rsid w:val="62514EEA"/>
    <w:rsid w:val="6311467A"/>
    <w:rsid w:val="636D5D54"/>
    <w:rsid w:val="63AD6150"/>
    <w:rsid w:val="6504473D"/>
    <w:rsid w:val="65554CF2"/>
    <w:rsid w:val="65CC4888"/>
    <w:rsid w:val="65F8567D"/>
    <w:rsid w:val="66616E40"/>
    <w:rsid w:val="66660838"/>
    <w:rsid w:val="66A31A8D"/>
    <w:rsid w:val="67F85E08"/>
    <w:rsid w:val="681542C4"/>
    <w:rsid w:val="689E075E"/>
    <w:rsid w:val="693B41FE"/>
    <w:rsid w:val="69B81724"/>
    <w:rsid w:val="6AFE1987"/>
    <w:rsid w:val="6C225202"/>
    <w:rsid w:val="6C833F02"/>
    <w:rsid w:val="6CF272CA"/>
    <w:rsid w:val="6DC12D4F"/>
    <w:rsid w:val="6E0B0643"/>
    <w:rsid w:val="6E4753F3"/>
    <w:rsid w:val="6F944668"/>
    <w:rsid w:val="6FCC5BB0"/>
    <w:rsid w:val="71303855"/>
    <w:rsid w:val="71347EB1"/>
    <w:rsid w:val="71C8652A"/>
    <w:rsid w:val="729A1F96"/>
    <w:rsid w:val="73D96AEE"/>
    <w:rsid w:val="744C5512"/>
    <w:rsid w:val="7456013E"/>
    <w:rsid w:val="74C01E69"/>
    <w:rsid w:val="74C432FA"/>
    <w:rsid w:val="74C652C4"/>
    <w:rsid w:val="7516167C"/>
    <w:rsid w:val="75C537CD"/>
    <w:rsid w:val="75F93477"/>
    <w:rsid w:val="75FB0F9D"/>
    <w:rsid w:val="765C57B4"/>
    <w:rsid w:val="76EC4D8A"/>
    <w:rsid w:val="77AF1002"/>
    <w:rsid w:val="783F0EE9"/>
    <w:rsid w:val="79444A09"/>
    <w:rsid w:val="7961380D"/>
    <w:rsid w:val="7A835439"/>
    <w:rsid w:val="7B4038F6"/>
    <w:rsid w:val="7BB805A5"/>
    <w:rsid w:val="7C5331B5"/>
    <w:rsid w:val="7C961A20"/>
    <w:rsid w:val="7D0C3A90"/>
    <w:rsid w:val="7D5D42EC"/>
    <w:rsid w:val="7D637428"/>
    <w:rsid w:val="7EEF4AE5"/>
    <w:rsid w:val="7F4357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jc w:val="center"/>
      <w:outlineLvl w:val="0"/>
    </w:pPr>
    <w:rPr>
      <w:rFonts w:ascii="宋体" w:hAnsi="宋体" w:eastAsia="宋体" w:cs="宋体"/>
      <w:b/>
      <w:bCs/>
      <w:color w:val="363737"/>
      <w:kern w:val="36"/>
      <w:sz w:val="33"/>
      <w:szCs w:val="33"/>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313131"/>
      <w:u w:val="none"/>
    </w:rPr>
  </w:style>
  <w:style w:type="character" w:customStyle="1" w:styleId="9">
    <w:name w:val="标题 1 字符"/>
    <w:basedOn w:val="6"/>
    <w:link w:val="2"/>
    <w:qFormat/>
    <w:uiPriority w:val="9"/>
    <w:rPr>
      <w:rFonts w:ascii="宋体" w:hAnsi="宋体" w:eastAsia="宋体" w:cs="宋体"/>
      <w:b/>
      <w:bCs/>
      <w:color w:val="363737"/>
      <w:kern w:val="36"/>
      <w:sz w:val="33"/>
      <w:szCs w:val="33"/>
    </w:rPr>
  </w:style>
  <w:style w:type="paragraph" w:styleId="10">
    <w:name w:val="List Paragraph"/>
    <w:basedOn w:val="1"/>
    <w:qFormat/>
    <w:uiPriority w:val="34"/>
    <w:pPr>
      <w:ind w:firstLine="420" w:firstLineChars="200"/>
    </w:p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row_tree_level_4"/>
    <w:basedOn w:val="6"/>
    <w:qFormat/>
    <w:uiPriority w:val="0"/>
  </w:style>
  <w:style w:type="paragraph" w:customStyle="1" w:styleId="1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5CF8-D43A-4BEA-9F11-16B98E23A6A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2914</Words>
  <Characters>3311</Characters>
  <Lines>26</Lines>
  <Paragraphs>7</Paragraphs>
  <TotalTime>4</TotalTime>
  <ScaleCrop>false</ScaleCrop>
  <LinksUpToDate>false</LinksUpToDate>
  <CharactersWithSpaces>3439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2018-01-29T00:59:00Z</dcterms:created>
  <dc:creator>511520729@qq.com</dc:creator>
  <cp:lastModifiedBy>hp</cp:lastModifiedBy>
  <cp:lastPrinted>2018-01-29T01:04:00Z</cp:lastPrinted>
  <dcterms:modified xsi:type="dcterms:W3CDTF">2023-06-30T09:14:13Z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AA0B013CE9C941C1BBF0F0CD280209F9</vt:lpwstr>
  </property>
</Properties>
</file>