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outlineLvl w:val="0"/>
        <w:rPr>
          <w:rFonts w:ascii="方正小标宋_GBK" w:hAnsi="宋体" w:eastAsia="方正小标宋_GBK" w:cs="宋体"/>
          <w:bCs/>
          <w:color w:val="000000" w:themeColor="text1"/>
          <w:kern w:val="36"/>
          <w:sz w:val="44"/>
          <w:szCs w:val="44"/>
        </w:rPr>
      </w:pPr>
      <w:r>
        <w:rPr>
          <w:rFonts w:hint="eastAsia" w:ascii="方正小标宋_GBK" w:hAnsi="宋体" w:eastAsia="方正小标宋_GBK" w:cs="宋体"/>
          <w:bCs/>
          <w:color w:val="000000" w:themeColor="text1"/>
          <w:kern w:val="36"/>
          <w:sz w:val="44"/>
          <w:szCs w:val="44"/>
          <w:lang w:eastAsia="zh-CN"/>
        </w:rPr>
        <w:t>上饶市工业和信息化局</w:t>
      </w:r>
      <w:r>
        <w:rPr>
          <w:rFonts w:hint="eastAsia" w:ascii="方正小标宋_GBK" w:hAnsi="宋体" w:eastAsia="方正小标宋_GBK" w:cs="宋体"/>
          <w:bCs/>
          <w:color w:val="000000" w:themeColor="text1"/>
          <w:kern w:val="36"/>
          <w:sz w:val="44"/>
          <w:szCs w:val="44"/>
        </w:rPr>
        <w:t>2021年政府信息</w:t>
      </w:r>
    </w:p>
    <w:p>
      <w:pPr>
        <w:widowControl/>
        <w:spacing w:line="560" w:lineRule="exact"/>
        <w:jc w:val="center"/>
        <w:outlineLvl w:val="0"/>
        <w:rPr>
          <w:rFonts w:ascii="方正小标宋_GBK" w:hAnsi="宋体" w:eastAsia="方正小标宋_GBK" w:cs="宋体"/>
          <w:bCs/>
          <w:color w:val="000000" w:themeColor="text1"/>
          <w:kern w:val="36"/>
          <w:sz w:val="44"/>
          <w:szCs w:val="44"/>
        </w:rPr>
      </w:pPr>
      <w:r>
        <w:rPr>
          <w:rFonts w:hint="eastAsia" w:ascii="方正小标宋_GBK" w:hAnsi="宋体" w:eastAsia="方正小标宋_GBK" w:cs="宋体"/>
          <w:bCs/>
          <w:color w:val="000000" w:themeColor="text1"/>
          <w:kern w:val="36"/>
          <w:sz w:val="44"/>
          <w:szCs w:val="44"/>
        </w:rPr>
        <w:t>公开工作年度报告</w:t>
      </w:r>
    </w:p>
    <w:p>
      <w:pPr>
        <w:pStyle w:val="7"/>
        <w:shd w:val="clear" w:color="auto" w:fill="FFFFFF"/>
        <w:spacing w:before="0" w:beforeAutospacing="0" w:after="0" w:afterAutospacing="0" w:line="560" w:lineRule="exact"/>
        <w:ind w:firstLine="640" w:firstLineChars="200"/>
        <w:jc w:val="center"/>
        <w:rPr>
          <w:rFonts w:ascii="仿宋_GB2312" w:hAnsi="仿宋" w:eastAsia="仿宋_GB2312"/>
          <w:color w:val="000000" w:themeColor="text1"/>
          <w:kern w:val="2"/>
          <w:sz w:val="32"/>
          <w:szCs w:val="32"/>
        </w:rPr>
      </w:pPr>
    </w:p>
    <w:p>
      <w:pPr>
        <w:shd w:val="clear" w:color="auto" w:fill="FFFFFF"/>
        <w:spacing w:line="560" w:lineRule="exact"/>
        <w:ind w:firstLine="640" w:firstLineChars="200"/>
        <w:jc w:val="left"/>
        <w:textAlignment w:val="top"/>
        <w:rPr>
          <w:rFonts w:hint="eastAsia" w:ascii="仿宋_GB2312" w:hAnsi="仿宋" w:eastAsia="仿宋_GB2312" w:cs="宋体"/>
          <w:color w:val="000000" w:themeColor="text1"/>
          <w:kern w:val="0"/>
          <w:sz w:val="32"/>
          <w:szCs w:val="32"/>
          <w:lang w:eastAsia="zh-CN"/>
        </w:rPr>
      </w:pPr>
      <w:r>
        <w:rPr>
          <w:rFonts w:hint="eastAsia" w:ascii="仿宋" w:hAnsi="仿宋" w:eastAsia="仿宋"/>
          <w:color w:val="000000"/>
          <w:sz w:val="32"/>
          <w:szCs w:val="32"/>
          <w:shd w:val="clear" w:color="auto" w:fill="FFFFFF"/>
        </w:rPr>
        <w:t>本报告依据《中华人民共和国政府信息公开条例》（国务院令第711号）和《国务院办公厅政府信息与政务公开办公室关于印发&lt;中华人民共和国政府信息公开工作年度报告格式&gt;的通知》（国办公开办函〔2021〕30号）要求，</w:t>
      </w:r>
      <w:r>
        <w:rPr>
          <w:rFonts w:hint="eastAsia" w:ascii="仿宋_GB2312" w:hAnsi="仿宋" w:eastAsia="仿宋_GB2312" w:cs="宋体"/>
          <w:color w:val="000000" w:themeColor="text1"/>
          <w:sz w:val="32"/>
          <w:szCs w:val="32"/>
        </w:rPr>
        <w:t>结合我局政府信息公开工作有关统计数据撰写。报告主要包括：总体情况、主动公开政府信息情况、收到和处理政府信息公开申请情况、因政府信息公开被申请行政复议和提起行政诉讼情况、政府信息公开工作存在主要问题及改进情况和其他需要报告事项。本报告中使用数据统计期限为2021年1月1日至12月31日。报告电子版可在</w:t>
      </w:r>
      <w:r>
        <w:rPr>
          <w:rFonts w:hint="eastAsia" w:ascii="仿宋_GB2312" w:hAnsi="仿宋" w:eastAsia="仿宋_GB2312" w:cs="宋体"/>
          <w:color w:val="000000" w:themeColor="text1"/>
          <w:sz w:val="32"/>
          <w:szCs w:val="32"/>
          <w:lang w:eastAsia="zh-CN"/>
        </w:rPr>
        <w:t>上饶市</w:t>
      </w:r>
      <w:r>
        <w:rPr>
          <w:rFonts w:hint="eastAsia" w:ascii="仿宋_GB2312" w:hAnsi="仿宋" w:eastAsia="仿宋_GB2312" w:cs="宋体"/>
          <w:color w:val="000000" w:themeColor="text1"/>
          <w:spacing w:val="1"/>
          <w:w w:val="96"/>
          <w:kern w:val="0"/>
          <w:sz w:val="32"/>
          <w:szCs w:val="32"/>
          <w:fitText w:val="9431" w:id="2113427231"/>
          <w:lang w:eastAsia="zh-CN"/>
        </w:rPr>
        <w:t>工业和信息化局</w:t>
      </w:r>
      <w:r>
        <w:rPr>
          <w:rFonts w:hint="eastAsia" w:ascii="仿宋_GB2312" w:hAnsi="仿宋" w:eastAsia="仿宋_GB2312" w:cs="宋体"/>
          <w:color w:val="000000" w:themeColor="text1"/>
          <w:spacing w:val="1"/>
          <w:w w:val="96"/>
          <w:kern w:val="0"/>
          <w:sz w:val="32"/>
          <w:szCs w:val="32"/>
          <w:fitText w:val="9431" w:id="2113427231"/>
        </w:rPr>
        <w:t>网站</w:t>
      </w:r>
      <w:r>
        <w:rPr>
          <w:rFonts w:hint="eastAsia" w:ascii="仿宋_GB2312" w:hAnsi="仿宋" w:eastAsia="仿宋_GB2312" w:cs="宋体"/>
          <w:color w:val="000000" w:themeColor="text1"/>
          <w:spacing w:val="1"/>
          <w:w w:val="96"/>
          <w:kern w:val="0"/>
          <w:sz w:val="32"/>
          <w:szCs w:val="32"/>
          <w:fitText w:val="9431" w:id="2113427231"/>
          <w:lang w:eastAsia="zh-CN"/>
        </w:rPr>
        <w:t>（http://www.zgsr.gov.cn/gxj/bindex.shtml</w:t>
      </w:r>
      <w:r>
        <w:rPr>
          <w:rFonts w:hint="eastAsia" w:ascii="仿宋_GB2312" w:hAnsi="仿宋" w:eastAsia="仿宋_GB2312" w:cs="宋体"/>
          <w:color w:val="000000" w:themeColor="text1"/>
          <w:spacing w:val="11"/>
          <w:w w:val="96"/>
          <w:kern w:val="0"/>
          <w:sz w:val="32"/>
          <w:szCs w:val="32"/>
          <w:fitText w:val="9431" w:id="2113427231"/>
          <w:lang w:eastAsia="zh-CN"/>
        </w:rPr>
        <w:t>）</w:t>
      </w:r>
    </w:p>
    <w:p>
      <w:pPr>
        <w:shd w:val="clear" w:color="auto" w:fill="FFFFFF"/>
        <w:spacing w:line="560" w:lineRule="exact"/>
        <w:jc w:val="left"/>
        <w:textAlignment w:val="top"/>
        <w:rPr>
          <w:rFonts w:ascii="仿宋" w:hAnsi="仿宋" w:eastAsia="仿宋" w:cs="宋体"/>
          <w:color w:val="000000"/>
          <w:kern w:val="0"/>
          <w:sz w:val="32"/>
          <w:szCs w:val="32"/>
        </w:rPr>
      </w:pPr>
      <w:r>
        <w:rPr>
          <w:rFonts w:hint="eastAsia" w:ascii="仿宋_GB2312" w:hAnsi="仿宋" w:eastAsia="仿宋_GB2312" w:cs="宋体"/>
          <w:color w:val="000000" w:themeColor="text1"/>
          <w:spacing w:val="17"/>
          <w:w w:val="100"/>
          <w:kern w:val="0"/>
          <w:sz w:val="32"/>
          <w:szCs w:val="32"/>
          <w:fitText w:val="674" w:id="1461851508"/>
          <w:lang w:eastAsia="zh-CN"/>
        </w:rPr>
        <w:t>查</w:t>
      </w:r>
      <w:r>
        <w:rPr>
          <w:rFonts w:hint="eastAsia" w:ascii="仿宋_GB2312" w:hAnsi="仿宋" w:eastAsia="仿宋_GB2312" w:cs="宋体"/>
          <w:color w:val="000000" w:themeColor="text1"/>
          <w:spacing w:val="0"/>
          <w:w w:val="100"/>
          <w:kern w:val="0"/>
          <w:sz w:val="32"/>
          <w:szCs w:val="32"/>
          <w:fitText w:val="674" w:id="1461851508"/>
          <w:lang w:eastAsia="zh-CN"/>
        </w:rPr>
        <w:t>询</w:t>
      </w:r>
      <w:r>
        <w:rPr>
          <w:rFonts w:hint="eastAsia" w:ascii="仿宋_GB2312" w:hAnsi="仿宋" w:eastAsia="仿宋_GB2312" w:cs="宋体"/>
          <w:color w:val="000000" w:themeColor="text1"/>
          <w:sz w:val="32"/>
          <w:szCs w:val="32"/>
        </w:rPr>
        <w:t>。如对本报告有任何疑问，请与</w:t>
      </w:r>
      <w:r>
        <w:rPr>
          <w:rFonts w:hint="eastAsia" w:ascii="仿宋_GB2312" w:hAnsi="仿宋" w:eastAsia="仿宋_GB2312" w:cs="宋体"/>
          <w:color w:val="000000" w:themeColor="text1"/>
          <w:sz w:val="32"/>
          <w:szCs w:val="32"/>
          <w:lang w:eastAsia="zh-CN"/>
        </w:rPr>
        <w:t>上饶市工业和信息化局</w:t>
      </w:r>
      <w:r>
        <w:rPr>
          <w:rFonts w:hint="eastAsia" w:ascii="仿宋_GB2312" w:hAnsi="仿宋" w:eastAsia="仿宋_GB2312" w:cs="宋体"/>
          <w:color w:val="000000" w:themeColor="text1"/>
          <w:sz w:val="32"/>
          <w:szCs w:val="32"/>
        </w:rPr>
        <w:t>办公室联系（地址：上饶市信州区锦绣路2号广信大厦B</w:t>
      </w:r>
      <w:r>
        <w:rPr>
          <w:rFonts w:hint="eastAsia" w:ascii="仿宋_GB2312" w:hAnsi="仿宋" w:eastAsia="仿宋_GB2312" w:cs="宋体"/>
          <w:color w:val="000000" w:themeColor="text1"/>
          <w:sz w:val="32"/>
          <w:szCs w:val="32"/>
          <w:lang w:eastAsia="zh-CN"/>
        </w:rPr>
        <w:t>栋</w:t>
      </w:r>
      <w:r>
        <w:rPr>
          <w:rFonts w:hint="eastAsia" w:ascii="仿宋_GB2312" w:hAnsi="仿宋" w:eastAsia="仿宋_GB2312" w:cs="宋体"/>
          <w:color w:val="000000" w:themeColor="text1"/>
          <w:sz w:val="32"/>
          <w:szCs w:val="32"/>
        </w:rPr>
        <w:t>19楼；电话</w:t>
      </w:r>
      <w:r>
        <w:rPr>
          <w:rFonts w:hint="eastAsia" w:ascii="仿宋_GB2312" w:hAnsi="仿宋" w:eastAsia="仿宋_GB2312" w:cs="宋体"/>
          <w:color w:val="000000" w:themeColor="text1"/>
          <w:sz w:val="32"/>
          <w:szCs w:val="32"/>
          <w:lang w:eastAsia="zh-CN"/>
        </w:rPr>
        <w:t>：</w:t>
      </w:r>
      <w:r>
        <w:rPr>
          <w:rFonts w:hint="eastAsia" w:ascii="仿宋_GB2312" w:hAnsi="仿宋" w:eastAsia="仿宋_GB2312" w:cs="宋体"/>
          <w:color w:val="000000" w:themeColor="text1"/>
          <w:sz w:val="32"/>
          <w:szCs w:val="32"/>
          <w:lang w:val="en-US" w:eastAsia="zh-CN"/>
        </w:rPr>
        <w:t>0793-8306077</w:t>
      </w:r>
      <w:r>
        <w:rPr>
          <w:rFonts w:hint="eastAsia" w:ascii="仿宋_GB2312" w:hAnsi="仿宋" w:eastAsia="仿宋_GB2312" w:cs="宋体"/>
          <w:color w:val="000000" w:themeColor="text1"/>
          <w:sz w:val="32"/>
          <w:szCs w:val="32"/>
        </w:rPr>
        <w:t>，邮编：</w:t>
      </w:r>
      <w:r>
        <w:rPr>
          <w:rFonts w:hint="eastAsia" w:ascii="仿宋_GB2312" w:hAnsi="仿宋" w:eastAsia="仿宋_GB2312" w:cs="宋体"/>
          <w:color w:val="000000" w:themeColor="text1"/>
          <w:sz w:val="32"/>
          <w:szCs w:val="32"/>
          <w:lang w:val="en-US" w:eastAsia="zh-CN"/>
        </w:rPr>
        <w:t>334000</w:t>
      </w:r>
      <w:r>
        <w:rPr>
          <w:rFonts w:hint="eastAsia" w:ascii="仿宋" w:hAnsi="仿宋" w:eastAsia="仿宋" w:cs="宋体"/>
          <w:color w:val="000000"/>
          <w:kern w:val="0"/>
          <w:sz w:val="32"/>
          <w:szCs w:val="32"/>
        </w:rPr>
        <w:t>）。</w:t>
      </w:r>
    </w:p>
    <w:p>
      <w:pPr>
        <w:widowControl/>
        <w:shd w:val="clear" w:color="auto" w:fill="FFFFFF"/>
        <w:adjustRightInd w:val="0"/>
        <w:spacing w:line="560" w:lineRule="exact"/>
        <w:ind w:firstLine="640" w:firstLineChars="200"/>
        <w:rPr>
          <w:rFonts w:hint="eastAsia"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一、总体情况</w:t>
      </w:r>
    </w:p>
    <w:p>
      <w:pPr>
        <w:shd w:val="clear" w:color="auto" w:fill="FFFFFF"/>
        <w:spacing w:line="560" w:lineRule="exact"/>
        <w:ind w:firstLine="640" w:firstLineChars="200"/>
        <w:jc w:val="left"/>
        <w:textAlignment w:val="top"/>
        <w:rPr>
          <w:rFonts w:hint="eastAsia" w:ascii="黑体" w:hAnsi="黑体" w:eastAsia="黑体" w:cs="宋体"/>
          <w:color w:val="000000" w:themeColor="text1"/>
          <w:kern w:val="0"/>
          <w:sz w:val="32"/>
          <w:szCs w:val="32"/>
        </w:rPr>
      </w:pPr>
      <w:r>
        <w:rPr>
          <w:rFonts w:hint="eastAsia" w:ascii="仿宋_GB2312" w:hAnsi="仿宋" w:eastAsia="仿宋_GB2312" w:cs="宋体"/>
          <w:color w:val="000000" w:themeColor="text1"/>
          <w:sz w:val="32"/>
          <w:szCs w:val="32"/>
          <w:lang w:val="en-US" w:eastAsia="zh-CN"/>
        </w:rPr>
        <w:t>2021年，上饶市工业和信息化局坚持以习近平新时代中国特色社会主义思想为指导，严格落实上级有关文件精神和决策部署，紧紧围绕市委、市政府和我局中心工作及社会群众关注关切，全面对标年度政务公开考评内容，大力提升政府信息公开质量，推进拓宽政府信息公开渠道，不断增强政府信息公开实效。</w:t>
      </w:r>
    </w:p>
    <w:p>
      <w:pPr>
        <w:widowControl/>
        <w:shd w:val="clear" w:color="auto" w:fill="FFFFFF"/>
        <w:adjustRightInd w:val="0"/>
        <w:spacing w:line="560" w:lineRule="exact"/>
        <w:ind w:firstLine="642" w:firstLineChars="200"/>
        <w:rPr>
          <w:rFonts w:ascii="楷体_GB2312" w:hAnsi="楷体" w:eastAsia="楷体_GB2312" w:cs="宋体"/>
          <w:b/>
          <w:bCs/>
          <w:color w:val="000000" w:themeColor="text1"/>
          <w:kern w:val="0"/>
          <w:sz w:val="32"/>
          <w:szCs w:val="32"/>
        </w:rPr>
      </w:pPr>
      <w:r>
        <w:rPr>
          <w:rFonts w:hint="eastAsia" w:ascii="楷体_GB2312" w:hAnsi="楷体" w:eastAsia="楷体_GB2312" w:cs="宋体"/>
          <w:b/>
          <w:bCs/>
          <w:color w:val="000000" w:themeColor="text1"/>
          <w:kern w:val="0"/>
          <w:sz w:val="32"/>
          <w:szCs w:val="32"/>
        </w:rPr>
        <w:t>（一）主动公开</w:t>
      </w:r>
    </w:p>
    <w:p>
      <w:pPr>
        <w:widowControl/>
        <w:shd w:val="clear" w:color="auto" w:fill="FFFFFF"/>
        <w:adjustRightInd w:val="0"/>
        <w:spacing w:line="560" w:lineRule="exact"/>
        <w:ind w:firstLine="640" w:firstLineChars="200"/>
        <w:rPr>
          <w:rFonts w:hint="eastAsia" w:ascii="仿宋_GB2312" w:hAnsi="仿宋" w:eastAsia="仿宋_GB2312" w:cs="宋体"/>
          <w:color w:val="000000" w:themeColor="text1"/>
          <w:sz w:val="32"/>
          <w:szCs w:val="32"/>
          <w:lang w:eastAsia="zh-CN"/>
        </w:rPr>
      </w:pPr>
      <w:r>
        <w:rPr>
          <w:rFonts w:hint="eastAsia" w:ascii="仿宋_GB2312" w:hAnsi="仿宋" w:eastAsia="仿宋_GB2312" w:cs="宋体"/>
          <w:color w:val="000000" w:themeColor="text1"/>
          <w:sz w:val="32"/>
          <w:szCs w:val="32"/>
        </w:rPr>
        <w:t>2021年，我局门户网站累计发布各类政府信息</w:t>
      </w:r>
      <w:r>
        <w:rPr>
          <w:rFonts w:hint="eastAsia" w:ascii="仿宋_GB2312" w:hAnsi="仿宋" w:eastAsia="仿宋_GB2312" w:cs="宋体"/>
          <w:color w:val="000000" w:themeColor="text1"/>
          <w:sz w:val="32"/>
          <w:szCs w:val="32"/>
          <w:lang w:val="en-US" w:eastAsia="zh-CN"/>
        </w:rPr>
        <w:t>165</w:t>
      </w:r>
      <w:r>
        <w:rPr>
          <w:rFonts w:hint="eastAsia" w:ascii="仿宋_GB2312" w:hAnsi="仿宋" w:eastAsia="仿宋_GB2312" w:cs="宋体"/>
          <w:color w:val="000000" w:themeColor="text1"/>
          <w:sz w:val="32"/>
          <w:szCs w:val="32"/>
        </w:rPr>
        <w:t>条。其中发布概况类信息</w:t>
      </w:r>
      <w:r>
        <w:rPr>
          <w:rFonts w:hint="eastAsia" w:ascii="仿宋_GB2312" w:hAnsi="仿宋" w:eastAsia="仿宋_GB2312" w:cs="宋体"/>
          <w:color w:val="000000" w:themeColor="text1"/>
          <w:sz w:val="32"/>
          <w:szCs w:val="32"/>
          <w:lang w:val="en-US" w:eastAsia="zh-CN"/>
        </w:rPr>
        <w:t>5</w:t>
      </w:r>
      <w:r>
        <w:rPr>
          <w:rFonts w:hint="eastAsia" w:ascii="仿宋_GB2312" w:hAnsi="仿宋" w:eastAsia="仿宋_GB2312" w:cs="宋体"/>
          <w:color w:val="000000" w:themeColor="text1"/>
          <w:sz w:val="32"/>
          <w:szCs w:val="32"/>
        </w:rPr>
        <w:t>条，</w:t>
      </w:r>
      <w:r>
        <w:rPr>
          <w:rFonts w:hint="eastAsia" w:ascii="仿宋_GB2312" w:hAnsi="仿宋" w:eastAsia="仿宋_GB2312" w:cs="宋体"/>
          <w:color w:val="000000" w:themeColor="text1"/>
          <w:sz w:val="32"/>
          <w:szCs w:val="32"/>
          <w:lang w:eastAsia="zh-CN"/>
        </w:rPr>
        <w:t>法定主动</w:t>
      </w:r>
      <w:r>
        <w:rPr>
          <w:rFonts w:hint="eastAsia" w:ascii="仿宋_GB2312" w:hAnsi="仿宋" w:eastAsia="仿宋_GB2312" w:cs="宋体"/>
          <w:color w:val="000000" w:themeColor="text1"/>
          <w:sz w:val="32"/>
          <w:szCs w:val="32"/>
        </w:rPr>
        <w:t>政务动态信息</w:t>
      </w:r>
      <w:r>
        <w:rPr>
          <w:rFonts w:hint="eastAsia" w:ascii="仿宋_GB2312" w:hAnsi="仿宋" w:eastAsia="仿宋_GB2312" w:cs="宋体"/>
          <w:color w:val="000000" w:themeColor="text1"/>
          <w:sz w:val="32"/>
          <w:szCs w:val="32"/>
          <w:lang w:val="en-US" w:eastAsia="zh-CN"/>
        </w:rPr>
        <w:t>160</w:t>
      </w:r>
      <w:r>
        <w:rPr>
          <w:rFonts w:hint="eastAsia" w:ascii="仿宋_GB2312" w:hAnsi="仿宋" w:eastAsia="仿宋_GB2312" w:cs="宋体"/>
          <w:color w:val="000000" w:themeColor="text1"/>
          <w:sz w:val="32"/>
          <w:szCs w:val="32"/>
        </w:rPr>
        <w:t>条。</w:t>
      </w:r>
      <w:r>
        <w:rPr>
          <w:rFonts w:hint="eastAsia" w:ascii="仿宋_GB2312" w:hAnsi="Tahoma" w:eastAsia="仿宋_GB2312" w:cs="Times New Roman"/>
          <w:b/>
          <w:bCs/>
          <w:color w:val="000000" w:themeColor="text1"/>
          <w:kern w:val="0"/>
          <w:sz w:val="32"/>
          <w:szCs w:val="32"/>
        </w:rPr>
        <w:t>做好财政信息公开</w:t>
      </w:r>
      <w:r>
        <w:rPr>
          <w:rFonts w:hint="eastAsia" w:ascii="仿宋_GB2312" w:hAnsi="Tahoma" w:eastAsia="仿宋_GB2312" w:cs="Times New Roman"/>
          <w:bCs/>
          <w:color w:val="000000" w:themeColor="text1"/>
          <w:kern w:val="0"/>
          <w:sz w:val="32"/>
          <w:szCs w:val="32"/>
        </w:rPr>
        <w:t>。</w:t>
      </w:r>
      <w:r>
        <w:rPr>
          <w:rFonts w:hint="eastAsia" w:ascii="仿宋_GB2312" w:hAnsi="Tahoma" w:eastAsia="仿宋_GB2312" w:cs="Times New Roman"/>
          <w:color w:val="000000" w:themeColor="text1"/>
          <w:kern w:val="0"/>
          <w:sz w:val="32"/>
          <w:szCs w:val="32"/>
        </w:rPr>
        <w:t>在规定时限内全面公开部门预决算、“三公”经费及相关报表信息</w:t>
      </w:r>
      <w:r>
        <w:rPr>
          <w:rFonts w:hint="eastAsia" w:ascii="仿宋_GB2312" w:hAnsi="Tahoma" w:eastAsia="仿宋_GB2312" w:cs="Times New Roman"/>
          <w:color w:val="000000" w:themeColor="text1"/>
          <w:kern w:val="0"/>
          <w:sz w:val="32"/>
          <w:szCs w:val="32"/>
          <w:lang w:val="en-US" w:eastAsia="zh-CN"/>
        </w:rPr>
        <w:t>3</w:t>
      </w:r>
      <w:r>
        <w:rPr>
          <w:rFonts w:hint="eastAsia" w:ascii="仿宋_GB2312" w:hAnsi="Tahoma" w:eastAsia="仿宋_GB2312" w:cs="Times New Roman"/>
          <w:color w:val="000000" w:themeColor="text1"/>
          <w:kern w:val="0"/>
          <w:sz w:val="32"/>
          <w:szCs w:val="32"/>
        </w:rPr>
        <w:t>条。</w:t>
      </w:r>
      <w:r>
        <w:rPr>
          <w:rFonts w:hint="eastAsia" w:ascii="仿宋_GB2312" w:hAnsi="Tahoma" w:eastAsia="仿宋_GB2312" w:cs="Times New Roman"/>
          <w:b/>
          <w:bCs/>
          <w:color w:val="000000" w:themeColor="text1"/>
          <w:sz w:val="32"/>
          <w:szCs w:val="32"/>
        </w:rPr>
        <w:t>规范规划信息公开。</w:t>
      </w:r>
      <w:r>
        <w:rPr>
          <w:rFonts w:hint="eastAsia" w:ascii="仿宋_GB2312" w:hAnsi="仿宋" w:eastAsia="仿宋_GB2312"/>
          <w:color w:val="000000" w:themeColor="text1"/>
          <w:sz w:val="32"/>
          <w:szCs w:val="32"/>
        </w:rPr>
        <w:t>我局组织编制</w:t>
      </w:r>
      <w:r>
        <w:rPr>
          <w:rFonts w:hint="eastAsia" w:ascii="仿宋_GB2312" w:hAnsi="仿宋" w:eastAsia="仿宋_GB2312"/>
          <w:color w:val="000000" w:themeColor="text1"/>
          <w:sz w:val="32"/>
          <w:szCs w:val="32"/>
          <w:lang w:eastAsia="zh-CN"/>
        </w:rPr>
        <w:t>了</w:t>
      </w:r>
      <w:r>
        <w:rPr>
          <w:rFonts w:hint="eastAsia" w:ascii="仿宋_GB2312" w:hAnsi="仿宋" w:eastAsia="仿宋_GB2312"/>
          <w:color w:val="000000" w:themeColor="text1"/>
          <w:sz w:val="32"/>
          <w:szCs w:val="32"/>
        </w:rPr>
        <w:t>的《上饶市“十四五”制造业高质量发展规划》</w:t>
      </w:r>
      <w:r>
        <w:rPr>
          <w:rFonts w:hint="eastAsia" w:ascii="仿宋_GB2312" w:hAnsi="仿宋" w:eastAsia="仿宋_GB2312"/>
          <w:color w:val="000000" w:themeColor="text1"/>
          <w:sz w:val="32"/>
          <w:szCs w:val="32"/>
          <w:lang w:eastAsia="zh-CN"/>
        </w:rPr>
        <w:t>《关于加速发展“大工业”的实施方案》并配套发布了</w:t>
      </w:r>
      <w:r>
        <w:rPr>
          <w:rFonts w:hint="eastAsia" w:ascii="仿宋_GB2312" w:hAnsi="仿宋" w:eastAsia="仿宋_GB2312"/>
          <w:color w:val="000000" w:themeColor="text1"/>
          <w:sz w:val="32"/>
          <w:szCs w:val="32"/>
        </w:rPr>
        <w:t>文件解读材料。</w:t>
      </w:r>
      <w:r>
        <w:rPr>
          <w:rFonts w:hint="eastAsia" w:ascii="仿宋_GB2312" w:hAnsi="楷体" w:eastAsia="仿宋_GB2312" w:cs="宋体"/>
          <w:b/>
          <w:bCs/>
          <w:color w:val="000000" w:themeColor="text1"/>
          <w:kern w:val="0"/>
          <w:sz w:val="32"/>
          <w:szCs w:val="32"/>
        </w:rPr>
        <w:t>政策发布解读</w:t>
      </w:r>
      <w:r>
        <w:rPr>
          <w:rFonts w:hint="eastAsia" w:ascii="仿宋_GB2312" w:hAnsi="楷体" w:eastAsia="仿宋_GB2312" w:cs="宋体"/>
          <w:b/>
          <w:bCs/>
          <w:color w:val="000000" w:themeColor="text1"/>
          <w:kern w:val="0"/>
          <w:sz w:val="32"/>
          <w:szCs w:val="32"/>
          <w:lang w:eastAsia="zh-CN"/>
        </w:rPr>
        <w:t>。</w:t>
      </w:r>
      <w:r>
        <w:rPr>
          <w:rFonts w:hint="eastAsia" w:ascii="仿宋_GB2312" w:hAnsi="Tahoma" w:eastAsia="仿宋_GB2312" w:cs="Times New Roman"/>
          <w:color w:val="000000" w:themeColor="text1"/>
          <w:sz w:val="32"/>
          <w:szCs w:val="32"/>
        </w:rPr>
        <w:t>我局牵头制定《关于印发上饶市市本级工业发展专项资金管理办法的通知》</w:t>
      </w:r>
      <w:r>
        <w:rPr>
          <w:rFonts w:hint="eastAsia" w:ascii="仿宋_GB2312" w:hAnsi="Tahoma" w:eastAsia="仿宋_GB2312" w:cs="Times New Roman"/>
          <w:color w:val="000000" w:themeColor="text1"/>
          <w:sz w:val="32"/>
          <w:szCs w:val="32"/>
          <w:lang w:eastAsia="zh-CN"/>
        </w:rPr>
        <w:t>《关于印发</w:t>
      </w:r>
      <w:r>
        <w:rPr>
          <w:rFonts w:hint="eastAsia" w:ascii="仿宋_GB2312" w:hAnsi="Tahoma" w:eastAsia="仿宋_GB2312" w:cs="Times New Roman"/>
          <w:color w:val="000000" w:themeColor="text1"/>
          <w:sz w:val="32"/>
          <w:szCs w:val="32"/>
          <w:lang w:val="en-US" w:eastAsia="zh-CN"/>
        </w:rPr>
        <w:t>&lt;</w:t>
      </w:r>
      <w:r>
        <w:rPr>
          <w:rFonts w:hint="eastAsia" w:ascii="仿宋_GB2312" w:hAnsi="Tahoma" w:eastAsia="仿宋_GB2312" w:cs="Times New Roman"/>
          <w:color w:val="000000" w:themeColor="text1"/>
          <w:sz w:val="32"/>
          <w:szCs w:val="32"/>
          <w:lang w:eastAsia="zh-CN"/>
        </w:rPr>
        <w:t>上饶市预拌砂浆生产企业布点方案（2021-2025）</w:t>
      </w:r>
      <w:r>
        <w:rPr>
          <w:rFonts w:hint="eastAsia" w:ascii="仿宋_GB2312" w:hAnsi="Tahoma" w:eastAsia="仿宋_GB2312" w:cs="Times New Roman"/>
          <w:color w:val="000000" w:themeColor="text1"/>
          <w:sz w:val="32"/>
          <w:szCs w:val="32"/>
          <w:lang w:val="en-US" w:eastAsia="zh-CN"/>
        </w:rPr>
        <w:t>&gt;</w:t>
      </w:r>
      <w:r>
        <w:rPr>
          <w:rFonts w:hint="eastAsia" w:ascii="仿宋_GB2312" w:hAnsi="Tahoma" w:eastAsia="仿宋_GB2312" w:cs="Times New Roman"/>
          <w:color w:val="000000" w:themeColor="text1"/>
          <w:sz w:val="32"/>
          <w:szCs w:val="32"/>
          <w:lang w:eastAsia="zh-CN"/>
        </w:rPr>
        <w:t>的通知》</w:t>
      </w:r>
      <w:r>
        <w:rPr>
          <w:rFonts w:hint="eastAsia" w:ascii="仿宋_GB2312" w:hAnsi="Tahoma" w:eastAsia="仿宋_GB2312" w:cs="Times New Roman"/>
          <w:color w:val="000000" w:themeColor="text1"/>
          <w:sz w:val="32"/>
          <w:szCs w:val="32"/>
        </w:rPr>
        <w:t>等政策文件，均按照重大决策法定程序完成意见征集和合法性审查等工作，并在政务公开网决策公开栏目进行公开</w:t>
      </w:r>
      <w:r>
        <w:rPr>
          <w:rFonts w:hint="eastAsia" w:ascii="仿宋_GB2312" w:hAnsi="仿宋" w:eastAsia="仿宋_GB2312"/>
          <w:color w:val="000000" w:themeColor="text1"/>
          <w:sz w:val="32"/>
          <w:szCs w:val="32"/>
        </w:rPr>
        <w:t>。全年</w:t>
      </w:r>
      <w:r>
        <w:rPr>
          <w:rFonts w:hint="eastAsia" w:ascii="仿宋_GB2312" w:hAnsi="仿宋" w:eastAsia="仿宋_GB2312" w:cs="宋体"/>
          <w:color w:val="000000" w:themeColor="text1"/>
          <w:sz w:val="32"/>
          <w:szCs w:val="32"/>
        </w:rPr>
        <w:t>发布解读信息</w:t>
      </w:r>
      <w:r>
        <w:rPr>
          <w:rFonts w:hint="eastAsia" w:ascii="仿宋_GB2312" w:hAnsi="仿宋" w:eastAsia="仿宋_GB2312" w:cs="宋体"/>
          <w:color w:val="000000" w:themeColor="text1"/>
          <w:sz w:val="32"/>
          <w:szCs w:val="32"/>
          <w:lang w:val="en-US" w:eastAsia="zh-CN"/>
        </w:rPr>
        <w:t>5</w:t>
      </w:r>
      <w:r>
        <w:rPr>
          <w:rFonts w:hint="eastAsia" w:ascii="仿宋_GB2312" w:hAnsi="仿宋" w:eastAsia="仿宋_GB2312" w:cs="宋体"/>
          <w:color w:val="000000" w:themeColor="text1"/>
          <w:sz w:val="32"/>
          <w:szCs w:val="32"/>
        </w:rPr>
        <w:t>条</w:t>
      </w:r>
      <w:r>
        <w:rPr>
          <w:rFonts w:hint="eastAsia" w:ascii="仿宋_GB2312" w:hAnsi="仿宋" w:eastAsia="仿宋_GB2312" w:cs="宋体"/>
          <w:color w:val="000000" w:themeColor="text1"/>
          <w:sz w:val="32"/>
          <w:szCs w:val="32"/>
          <w:lang w:eastAsia="zh-CN"/>
        </w:rPr>
        <w:t>。</w:t>
      </w:r>
    </w:p>
    <w:p>
      <w:pPr>
        <w:widowControl/>
        <w:shd w:val="clear" w:color="auto" w:fill="FFFFFF"/>
        <w:adjustRightInd w:val="0"/>
        <w:spacing w:line="560" w:lineRule="exact"/>
        <w:ind w:firstLine="642" w:firstLineChars="200"/>
        <w:rPr>
          <w:rFonts w:ascii="楷体_GB2312" w:hAnsi="楷体" w:eastAsia="楷体_GB2312" w:cs="宋体"/>
          <w:b/>
          <w:bCs/>
          <w:color w:val="000000" w:themeColor="text1"/>
          <w:kern w:val="0"/>
          <w:sz w:val="32"/>
          <w:szCs w:val="32"/>
        </w:rPr>
      </w:pPr>
      <w:r>
        <w:rPr>
          <w:rFonts w:hint="eastAsia" w:ascii="楷体_GB2312" w:hAnsi="楷体" w:eastAsia="楷体_GB2312" w:cs="宋体"/>
          <w:b/>
          <w:bCs/>
          <w:color w:val="000000" w:themeColor="text1"/>
          <w:kern w:val="0"/>
          <w:sz w:val="32"/>
          <w:szCs w:val="32"/>
        </w:rPr>
        <w:t>（二）依申请公开</w:t>
      </w:r>
    </w:p>
    <w:p>
      <w:pPr>
        <w:adjustRightInd w:val="0"/>
        <w:spacing w:line="560" w:lineRule="exact"/>
        <w:ind w:firstLine="640" w:firstLineChars="200"/>
        <w:rPr>
          <w:rFonts w:hint="eastAsia" w:ascii="仿宋_GB2312" w:eastAsia="仿宋_GB2312"/>
          <w:color w:val="000000" w:themeColor="text1"/>
          <w:sz w:val="32"/>
          <w:szCs w:val="32"/>
          <w:lang w:eastAsia="zh-CN"/>
        </w:rPr>
      </w:pPr>
      <w:r>
        <w:rPr>
          <w:rFonts w:hint="eastAsia" w:ascii="仿宋_GB2312" w:hAnsi="仿宋" w:eastAsia="仿宋_GB2312" w:cs="宋体"/>
          <w:color w:val="000000" w:themeColor="text1"/>
          <w:kern w:val="0"/>
          <w:sz w:val="32"/>
          <w:szCs w:val="32"/>
        </w:rPr>
        <w:t>准确把握《中华人民共和国政府信息公开条例》有关政府信息依申请公开工作要求，严格</w:t>
      </w:r>
      <w:r>
        <w:rPr>
          <w:rFonts w:hint="eastAsia" w:ascii="仿宋_GB2312" w:hAnsi="仿宋" w:eastAsia="仿宋_GB2312" w:cs="宋体"/>
          <w:color w:val="000000" w:themeColor="text1"/>
          <w:kern w:val="0"/>
          <w:sz w:val="32"/>
          <w:szCs w:val="32"/>
          <w:lang w:eastAsia="zh-CN"/>
        </w:rPr>
        <w:t>按照规定</w:t>
      </w:r>
      <w:r>
        <w:rPr>
          <w:rFonts w:hint="eastAsia" w:ascii="仿宋_GB2312" w:hAnsi="仿宋" w:eastAsia="仿宋_GB2312" w:cs="宋体"/>
          <w:color w:val="000000" w:themeColor="text1"/>
          <w:kern w:val="0"/>
          <w:sz w:val="32"/>
          <w:szCs w:val="32"/>
        </w:rPr>
        <w:t>进行审查、处理、答复等工作。2021年，我局</w:t>
      </w:r>
      <w:r>
        <w:rPr>
          <w:rFonts w:hint="eastAsia" w:ascii="仿宋_GB2312" w:hAnsi="仿宋" w:eastAsia="仿宋_GB2312" w:cs="宋体"/>
          <w:color w:val="000000" w:themeColor="text1"/>
          <w:kern w:val="0"/>
          <w:sz w:val="32"/>
          <w:szCs w:val="32"/>
          <w:lang w:eastAsia="zh-CN"/>
        </w:rPr>
        <w:t>未收到</w:t>
      </w:r>
      <w:r>
        <w:rPr>
          <w:rFonts w:hint="eastAsia" w:ascii="仿宋_GB2312" w:eastAsia="仿宋_GB2312"/>
          <w:color w:val="000000" w:themeColor="text1"/>
          <w:sz w:val="32"/>
          <w:szCs w:val="32"/>
        </w:rPr>
        <w:t>依申请公开的申请</w:t>
      </w:r>
      <w:r>
        <w:rPr>
          <w:rFonts w:hint="eastAsia" w:ascii="仿宋_GB2312" w:eastAsia="仿宋_GB2312"/>
          <w:color w:val="000000" w:themeColor="text1"/>
          <w:sz w:val="32"/>
          <w:szCs w:val="32"/>
          <w:lang w:eastAsia="zh-CN"/>
        </w:rPr>
        <w:t>。</w:t>
      </w:r>
    </w:p>
    <w:p>
      <w:pPr>
        <w:widowControl/>
        <w:adjustRightInd w:val="0"/>
        <w:snapToGrid w:val="0"/>
        <w:spacing w:line="560" w:lineRule="exact"/>
        <w:ind w:firstLine="642" w:firstLineChars="200"/>
        <w:rPr>
          <w:rFonts w:ascii="楷体_GB2312" w:hAnsi="楷体" w:eastAsia="楷体_GB2312" w:cs="宋体"/>
          <w:b/>
          <w:bCs/>
          <w:color w:val="000000" w:themeColor="text1"/>
          <w:kern w:val="0"/>
          <w:sz w:val="32"/>
          <w:szCs w:val="32"/>
        </w:rPr>
      </w:pPr>
      <w:r>
        <w:rPr>
          <w:rFonts w:hint="eastAsia" w:ascii="楷体_GB2312" w:hAnsi="楷体" w:eastAsia="楷体_GB2312" w:cs="宋体"/>
          <w:b/>
          <w:bCs/>
          <w:color w:val="000000" w:themeColor="text1"/>
          <w:kern w:val="0"/>
          <w:sz w:val="32"/>
          <w:szCs w:val="32"/>
        </w:rPr>
        <w:t>（三）政府信息管理</w:t>
      </w:r>
    </w:p>
    <w:p>
      <w:pPr>
        <w:widowControl/>
        <w:adjustRightInd w:val="0"/>
        <w:snapToGrid w:val="0"/>
        <w:spacing w:line="560" w:lineRule="exact"/>
        <w:ind w:firstLine="640" w:firstLineChars="200"/>
        <w:rPr>
          <w:rFonts w:ascii="仿宋_GB2312" w:hAnsi="微软雅黑" w:eastAsia="仿宋_GB2312"/>
          <w:color w:val="000000" w:themeColor="text1"/>
          <w:sz w:val="32"/>
          <w:szCs w:val="32"/>
        </w:rPr>
      </w:pPr>
      <w:r>
        <w:rPr>
          <w:rFonts w:hint="eastAsia" w:ascii="仿宋_GB2312" w:hAnsi="仿宋" w:eastAsia="仿宋_GB2312" w:cs="Times New Roman"/>
          <w:snapToGrid w:val="0"/>
          <w:color w:val="000000" w:themeColor="text1"/>
          <w:kern w:val="0"/>
          <w:sz w:val="32"/>
          <w:szCs w:val="32"/>
        </w:rPr>
        <w:t>通过政府信息公开专栏集中公开现行有效文件和文件目录，对废止失效规范性文件进行了全面排查，并与司法局对接确认，及时进行了清理。</w:t>
      </w:r>
    </w:p>
    <w:p>
      <w:pPr>
        <w:shd w:val="clear" w:color="auto" w:fill="FFFFFF"/>
        <w:adjustRightInd w:val="0"/>
        <w:spacing w:line="560" w:lineRule="exact"/>
        <w:ind w:firstLine="642" w:firstLineChars="200"/>
        <w:rPr>
          <w:rFonts w:ascii="楷体_GB2312" w:hAnsi="楷体" w:eastAsia="楷体_GB2312" w:cs="宋体"/>
          <w:b/>
          <w:bCs/>
          <w:color w:val="000000" w:themeColor="text1"/>
          <w:kern w:val="0"/>
          <w:sz w:val="32"/>
          <w:szCs w:val="32"/>
        </w:rPr>
      </w:pPr>
      <w:r>
        <w:rPr>
          <w:rFonts w:hint="eastAsia" w:ascii="楷体_GB2312" w:hAnsi="楷体" w:eastAsia="楷体_GB2312" w:cs="宋体"/>
          <w:b/>
          <w:bCs/>
          <w:color w:val="000000" w:themeColor="text1"/>
          <w:kern w:val="0"/>
          <w:sz w:val="32"/>
          <w:szCs w:val="32"/>
        </w:rPr>
        <w:t>（四）政府信息公开平台建设</w:t>
      </w:r>
    </w:p>
    <w:p>
      <w:pPr>
        <w:shd w:val="clear" w:color="auto" w:fill="FFFFFF"/>
        <w:adjustRightInd w:val="0"/>
        <w:spacing w:line="520" w:lineRule="exact"/>
        <w:ind w:firstLine="642" w:firstLineChars="200"/>
        <w:rPr>
          <w:rFonts w:hint="eastAsia" w:ascii="楷体_GB2312" w:hAnsi="楷体" w:eastAsia="楷体_GB2312" w:cs="宋体"/>
          <w:b/>
          <w:bCs/>
          <w:color w:val="000000" w:themeColor="text1"/>
          <w:kern w:val="0"/>
          <w:sz w:val="32"/>
          <w:szCs w:val="32"/>
        </w:rPr>
      </w:pPr>
      <w:r>
        <w:rPr>
          <w:rFonts w:hint="eastAsia" w:ascii="仿宋_GB2312" w:hAnsi="仿宋" w:eastAsia="仿宋_GB2312" w:cs="宋体"/>
          <w:b/>
          <w:bCs/>
          <w:color w:val="000000" w:themeColor="text1"/>
          <w:kern w:val="0"/>
          <w:sz w:val="32"/>
          <w:szCs w:val="32"/>
        </w:rPr>
        <w:t>一是</w:t>
      </w:r>
      <w:r>
        <w:rPr>
          <w:rFonts w:hint="eastAsia" w:ascii="仿宋_GB2312" w:hAnsi="仿宋" w:eastAsia="仿宋_GB2312" w:cs="宋体"/>
          <w:color w:val="000000" w:themeColor="text1"/>
          <w:kern w:val="0"/>
          <w:sz w:val="32"/>
          <w:szCs w:val="32"/>
        </w:rPr>
        <w:t>发挥政府网站是政务公开第一平台的作用，优化局网站栏目设置。</w:t>
      </w:r>
      <w:r>
        <w:rPr>
          <w:rFonts w:hint="eastAsia" w:ascii="仿宋_GB2312" w:hAnsi="仿宋" w:eastAsia="仿宋_GB2312" w:cs="宋体"/>
          <w:b/>
          <w:bCs/>
          <w:color w:val="000000" w:themeColor="text1"/>
          <w:kern w:val="0"/>
          <w:sz w:val="32"/>
          <w:szCs w:val="32"/>
        </w:rPr>
        <w:t>二是</w:t>
      </w:r>
      <w:r>
        <w:rPr>
          <w:rFonts w:hint="eastAsia" w:ascii="仿宋_GB2312" w:hAnsi="仿宋" w:eastAsia="仿宋_GB2312" w:cs="宋体"/>
          <w:color w:val="000000" w:themeColor="text1"/>
          <w:kern w:val="0"/>
          <w:sz w:val="32"/>
          <w:szCs w:val="32"/>
        </w:rPr>
        <w:t>重视“</w:t>
      </w:r>
      <w:r>
        <w:rPr>
          <w:rFonts w:hint="eastAsia" w:ascii="仿宋_GB2312" w:hAnsi="仿宋" w:eastAsia="仿宋_GB2312" w:cs="宋体"/>
          <w:color w:val="000000" w:themeColor="text1"/>
          <w:kern w:val="0"/>
          <w:sz w:val="32"/>
          <w:szCs w:val="32"/>
          <w:lang w:eastAsia="zh-CN"/>
        </w:rPr>
        <w:t>上饶工信</w:t>
      </w:r>
      <w:r>
        <w:rPr>
          <w:rFonts w:hint="eastAsia" w:ascii="仿宋_GB2312" w:hAnsi="仿宋" w:eastAsia="仿宋_GB2312" w:cs="宋体"/>
          <w:color w:val="000000" w:themeColor="text1"/>
          <w:kern w:val="0"/>
          <w:sz w:val="32"/>
          <w:szCs w:val="32"/>
        </w:rPr>
        <w:t>”微信公众号建设，发布信息</w:t>
      </w:r>
      <w:r>
        <w:rPr>
          <w:rFonts w:hint="eastAsia" w:ascii="仿宋_GB2312" w:hAnsi="仿宋" w:eastAsia="仿宋_GB2312" w:cs="宋体"/>
          <w:color w:val="000000" w:themeColor="text1"/>
          <w:kern w:val="0"/>
          <w:sz w:val="32"/>
          <w:szCs w:val="32"/>
          <w:lang w:val="en-US" w:eastAsia="zh-CN"/>
        </w:rPr>
        <w:t>84</w:t>
      </w:r>
      <w:r>
        <w:rPr>
          <w:rFonts w:hint="eastAsia" w:ascii="仿宋_GB2312" w:hAnsi="仿宋" w:eastAsia="仿宋_GB2312" w:cs="宋体"/>
          <w:color w:val="000000" w:themeColor="text1"/>
          <w:kern w:val="0"/>
          <w:sz w:val="32"/>
          <w:szCs w:val="32"/>
        </w:rPr>
        <w:t>条，订阅数</w:t>
      </w:r>
      <w:r>
        <w:rPr>
          <w:rFonts w:hint="eastAsia" w:ascii="仿宋_GB2312" w:hAnsi="仿宋" w:eastAsia="仿宋_GB2312" w:cs="宋体"/>
          <w:color w:val="000000" w:themeColor="text1"/>
          <w:kern w:val="0"/>
          <w:sz w:val="32"/>
          <w:szCs w:val="32"/>
          <w:lang w:val="en-US" w:eastAsia="zh-CN"/>
        </w:rPr>
        <w:t>293</w:t>
      </w:r>
      <w:r>
        <w:rPr>
          <w:rFonts w:hint="eastAsia" w:ascii="仿宋_GB2312" w:hAnsi="仿宋" w:eastAsia="仿宋_GB2312" w:cs="宋体"/>
          <w:color w:val="000000" w:themeColor="text1"/>
          <w:kern w:val="0"/>
          <w:sz w:val="32"/>
          <w:szCs w:val="32"/>
        </w:rPr>
        <w:t>个</w:t>
      </w:r>
      <w:r>
        <w:rPr>
          <w:rFonts w:hint="eastAsia" w:ascii="仿宋_GB2312" w:hAnsi="宋体" w:eastAsia="仿宋_GB2312" w:cs="Times New Roman"/>
          <w:snapToGrid w:val="0"/>
          <w:color w:val="000000" w:themeColor="text1"/>
          <w:kern w:val="0"/>
          <w:sz w:val="32"/>
          <w:szCs w:val="32"/>
        </w:rPr>
        <w:t>。</w:t>
      </w:r>
      <w:r>
        <w:rPr>
          <w:rFonts w:hint="eastAsia" w:ascii="仿宋_GB2312" w:hAnsi="仿宋" w:eastAsia="仿宋_GB2312" w:cs="宋体"/>
          <w:b/>
          <w:bCs/>
          <w:color w:val="000000" w:themeColor="text1"/>
          <w:kern w:val="0"/>
          <w:sz w:val="32"/>
          <w:szCs w:val="32"/>
        </w:rPr>
        <w:t>三是</w:t>
      </w:r>
      <w:r>
        <w:rPr>
          <w:rFonts w:hint="eastAsia" w:ascii="仿宋_GB2312" w:hAnsi="仿宋" w:eastAsia="仿宋_GB2312" w:cs="宋体"/>
          <w:color w:val="000000" w:themeColor="text1"/>
          <w:kern w:val="0"/>
          <w:sz w:val="32"/>
          <w:szCs w:val="32"/>
        </w:rPr>
        <w:t>利用好</w:t>
      </w:r>
      <w:r>
        <w:rPr>
          <w:rFonts w:hint="eastAsia" w:ascii="仿宋_GB2312" w:hAnsi="Times New Roman" w:eastAsia="仿宋_GB2312" w:cs="Times New Roman"/>
          <w:color w:val="000000" w:themeColor="text1"/>
          <w:kern w:val="0"/>
          <w:sz w:val="32"/>
          <w:szCs w:val="32"/>
        </w:rPr>
        <w:t>12345</w:t>
      </w:r>
      <w:r>
        <w:rPr>
          <w:rFonts w:hint="eastAsia" w:ascii="仿宋_GB2312" w:hAnsi="仿宋" w:eastAsia="仿宋_GB2312" w:cs="宋体"/>
          <w:color w:val="000000" w:themeColor="text1"/>
          <w:kern w:val="0"/>
          <w:sz w:val="32"/>
          <w:szCs w:val="32"/>
        </w:rPr>
        <w:t>等平台及时回应群众关切，共收到留言</w:t>
      </w:r>
      <w:r>
        <w:rPr>
          <w:rFonts w:hint="eastAsia" w:ascii="仿宋_GB2312" w:hAnsi="仿宋" w:eastAsia="仿宋_GB2312" w:cs="宋体"/>
          <w:color w:val="000000" w:themeColor="text1"/>
          <w:kern w:val="0"/>
          <w:sz w:val="32"/>
          <w:szCs w:val="32"/>
          <w:lang w:val="en-US" w:eastAsia="zh-CN"/>
        </w:rPr>
        <w:t>12</w:t>
      </w:r>
      <w:r>
        <w:rPr>
          <w:rFonts w:hint="eastAsia" w:ascii="仿宋_GB2312" w:hAnsi="仿宋" w:eastAsia="仿宋_GB2312" w:cs="宋体"/>
          <w:color w:val="000000" w:themeColor="text1"/>
          <w:kern w:val="0"/>
          <w:sz w:val="32"/>
          <w:szCs w:val="32"/>
        </w:rPr>
        <w:t>条，均在规定期限答复。</w:t>
      </w:r>
    </w:p>
    <w:p>
      <w:pPr>
        <w:widowControl/>
        <w:shd w:val="clear" w:color="auto" w:fill="FFFFFF"/>
        <w:adjustRightInd w:val="0"/>
        <w:spacing w:line="520" w:lineRule="exact"/>
        <w:ind w:firstLine="642" w:firstLineChars="200"/>
        <w:rPr>
          <w:rFonts w:ascii="楷体_GB2312" w:hAnsi="楷体" w:eastAsia="楷体_GB2312" w:cs="宋体"/>
          <w:b/>
          <w:bCs/>
          <w:color w:val="000000" w:themeColor="text1"/>
          <w:kern w:val="0"/>
          <w:sz w:val="32"/>
          <w:szCs w:val="32"/>
        </w:rPr>
      </w:pPr>
      <w:r>
        <w:rPr>
          <w:rFonts w:hint="eastAsia" w:ascii="楷体_GB2312" w:hAnsi="楷体" w:eastAsia="楷体_GB2312" w:cs="宋体"/>
          <w:b/>
          <w:bCs/>
          <w:color w:val="000000" w:themeColor="text1"/>
          <w:kern w:val="0"/>
          <w:sz w:val="32"/>
          <w:szCs w:val="32"/>
        </w:rPr>
        <w:t>（五）监督保障</w:t>
      </w:r>
    </w:p>
    <w:p>
      <w:pPr>
        <w:pStyle w:val="2"/>
        <w:shd w:val="clear" w:color="auto" w:fill="FFFFFF"/>
        <w:adjustRightInd w:val="0"/>
        <w:spacing w:before="0" w:beforeAutospacing="0" w:after="0" w:afterAutospacing="0" w:line="520" w:lineRule="exact"/>
        <w:ind w:firstLine="640" w:firstLineChars="200"/>
        <w:jc w:val="both"/>
        <w:rPr>
          <w:rFonts w:hint="eastAsia"/>
        </w:rPr>
      </w:pPr>
      <w:r>
        <w:rPr>
          <w:rFonts w:hint="eastAsia" w:ascii="仿宋_GB2312" w:hAnsi="仿宋" w:eastAsia="仿宋_GB2312"/>
          <w:b w:val="0"/>
          <w:bCs w:val="0"/>
          <w:color w:val="000000" w:themeColor="text1"/>
          <w:kern w:val="0"/>
          <w:sz w:val="32"/>
          <w:szCs w:val="32"/>
          <w:lang w:eastAsia="zh-CN"/>
        </w:rPr>
        <w:t>加强领导和责任落实，进一步</w:t>
      </w:r>
      <w:r>
        <w:rPr>
          <w:rFonts w:hint="eastAsia" w:ascii="仿宋_GB2312" w:hAnsi="仿宋" w:eastAsia="仿宋_GB2312"/>
          <w:b w:val="0"/>
          <w:bCs w:val="0"/>
          <w:color w:val="000000" w:themeColor="text1"/>
          <w:kern w:val="0"/>
          <w:sz w:val="32"/>
          <w:szCs w:val="32"/>
        </w:rPr>
        <w:t>增强相关责任人抓政府信息公开工作的主动性</w:t>
      </w:r>
      <w:r>
        <w:rPr>
          <w:rFonts w:hint="eastAsia" w:ascii="仿宋_GB2312" w:hAnsi="仿宋" w:eastAsia="仿宋_GB2312"/>
          <w:b w:val="0"/>
          <w:bCs w:val="0"/>
          <w:color w:val="000000" w:themeColor="text1"/>
          <w:kern w:val="0"/>
          <w:sz w:val="32"/>
          <w:szCs w:val="32"/>
          <w:lang w:eastAsia="zh-CN"/>
        </w:rPr>
        <w:t>。</w:t>
      </w:r>
      <w:r>
        <w:rPr>
          <w:rFonts w:hint="eastAsia" w:ascii="仿宋_GB2312" w:hAnsi="仿宋" w:eastAsia="仿宋_GB2312"/>
          <w:b w:val="0"/>
          <w:bCs w:val="0"/>
          <w:color w:val="000000" w:themeColor="text1"/>
          <w:kern w:val="0"/>
          <w:sz w:val="32"/>
          <w:szCs w:val="32"/>
        </w:rPr>
        <w:t>明确各项栏目更新时限及责任科室。积极参加市</w:t>
      </w:r>
      <w:r>
        <w:rPr>
          <w:rFonts w:hint="eastAsia" w:ascii="仿宋_GB2312" w:hAnsi="仿宋" w:eastAsia="仿宋_GB2312"/>
          <w:b w:val="0"/>
          <w:bCs w:val="0"/>
          <w:color w:val="000000" w:themeColor="text1"/>
          <w:kern w:val="0"/>
          <w:sz w:val="32"/>
          <w:szCs w:val="32"/>
          <w:lang w:eastAsia="zh-CN"/>
        </w:rPr>
        <w:t>政府</w:t>
      </w:r>
      <w:r>
        <w:rPr>
          <w:rFonts w:hint="eastAsia" w:ascii="仿宋_GB2312" w:hAnsi="仿宋" w:eastAsia="仿宋_GB2312"/>
          <w:b w:val="0"/>
          <w:bCs w:val="0"/>
          <w:color w:val="000000" w:themeColor="text1"/>
          <w:kern w:val="0"/>
          <w:sz w:val="32"/>
          <w:szCs w:val="32"/>
        </w:rPr>
        <w:t>办举办的政务公开工作培训，及时传达省、市政务公开工作要求。根据省、市政务公开办及第三方测评反馈情况，对测评发现的问题立即认真分析研究，找出存在问题的主要原因，加强沟通交流，均限期整改完成。主动听取社会公众意见。责任追究结果情况。2021年我局未出现因信息公开不到位需要进行责任追究的情况。</w:t>
      </w:r>
    </w:p>
    <w:p/>
    <w:p>
      <w:pPr>
        <w:widowControl/>
        <w:shd w:val="clear" w:color="auto" w:fill="FFFFFF"/>
        <w:adjustRightInd w:val="0"/>
        <w:spacing w:line="560" w:lineRule="exact"/>
        <w:ind w:firstLine="640" w:firstLineChars="200"/>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二、主动公开政府信息情况</w:t>
      </w:r>
    </w:p>
    <w:tbl>
      <w:tblPr>
        <w:tblStyle w:val="8"/>
        <w:tblW w:w="8372"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autofit"/>
        <w:tblCellMar>
          <w:top w:w="24" w:type="dxa"/>
          <w:left w:w="24" w:type="dxa"/>
          <w:bottom w:w="24" w:type="dxa"/>
          <w:right w:w="24" w:type="dxa"/>
        </w:tblCellMar>
      </w:tblPr>
      <w:tblGrid>
        <w:gridCol w:w="2809"/>
        <w:gridCol w:w="2019"/>
        <w:gridCol w:w="2126"/>
        <w:gridCol w:w="1418"/>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360" w:hRule="atLeast"/>
        </w:trPr>
        <w:tc>
          <w:tcPr>
            <w:tcW w:w="8372" w:type="dxa"/>
            <w:gridSpan w:val="4"/>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第二十条第（一）项</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423" w:hRule="atLeast"/>
        </w:trPr>
        <w:tc>
          <w:tcPr>
            <w:tcW w:w="2809"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信息内容</w:t>
            </w:r>
          </w:p>
        </w:tc>
        <w:tc>
          <w:tcPr>
            <w:tcW w:w="2019"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本年制发件数</w:t>
            </w:r>
          </w:p>
        </w:tc>
        <w:tc>
          <w:tcPr>
            <w:tcW w:w="212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本年废止件数</w:t>
            </w:r>
          </w:p>
        </w:tc>
        <w:tc>
          <w:tcPr>
            <w:tcW w:w="1418"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现行有效件数</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360" w:hRule="atLeast"/>
        </w:trPr>
        <w:tc>
          <w:tcPr>
            <w:tcW w:w="2809"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规章</w:t>
            </w:r>
          </w:p>
        </w:tc>
        <w:tc>
          <w:tcPr>
            <w:tcW w:w="2019"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0</w:t>
            </w:r>
          </w:p>
        </w:tc>
        <w:tc>
          <w:tcPr>
            <w:tcW w:w="212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0</w:t>
            </w:r>
          </w:p>
        </w:tc>
        <w:tc>
          <w:tcPr>
            <w:tcW w:w="1418"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360" w:hRule="atLeast"/>
        </w:trPr>
        <w:tc>
          <w:tcPr>
            <w:tcW w:w="2809"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规范性文件</w:t>
            </w:r>
          </w:p>
        </w:tc>
        <w:tc>
          <w:tcPr>
            <w:tcW w:w="2019"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widowControl/>
              <w:jc w:val="center"/>
              <w:rPr>
                <w:rFonts w:hint="eastAsia" w:ascii="宋体" w:hAnsi="宋体" w:eastAsia="宋体" w:cs="宋体"/>
                <w:color w:val="000000" w:themeColor="text1"/>
                <w:kern w:val="0"/>
                <w:szCs w:val="21"/>
                <w:lang w:eastAsia="zh-CN"/>
              </w:rPr>
            </w:pPr>
            <w:r>
              <w:rPr>
                <w:rFonts w:hint="eastAsia" w:ascii="宋体" w:hAnsi="宋体" w:eastAsia="宋体" w:cs="宋体"/>
                <w:color w:val="000000" w:themeColor="text1"/>
                <w:kern w:val="0"/>
                <w:szCs w:val="21"/>
                <w:lang w:val="en-US" w:eastAsia="zh-CN"/>
              </w:rPr>
              <w:t>2</w:t>
            </w:r>
          </w:p>
        </w:tc>
        <w:tc>
          <w:tcPr>
            <w:tcW w:w="212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widowControl/>
              <w:jc w:val="center"/>
              <w:rPr>
                <w:rFonts w:hint="eastAsia" w:ascii="宋体" w:hAnsi="宋体" w:eastAsia="宋体" w:cs="宋体"/>
                <w:color w:val="000000" w:themeColor="text1"/>
                <w:kern w:val="0"/>
                <w:szCs w:val="21"/>
                <w:lang w:eastAsia="zh-CN"/>
              </w:rPr>
            </w:pPr>
            <w:r>
              <w:rPr>
                <w:rFonts w:hint="eastAsia" w:ascii="宋体" w:hAnsi="宋体" w:eastAsia="宋体" w:cs="宋体"/>
                <w:color w:val="000000" w:themeColor="text1"/>
                <w:kern w:val="0"/>
                <w:szCs w:val="21"/>
                <w:lang w:val="en-US" w:eastAsia="zh-CN"/>
              </w:rPr>
              <w:t>1</w:t>
            </w:r>
          </w:p>
        </w:tc>
        <w:tc>
          <w:tcPr>
            <w:tcW w:w="1418"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widowControl/>
              <w:jc w:val="center"/>
              <w:rPr>
                <w:rFonts w:hint="eastAsia" w:ascii="宋体" w:hAnsi="宋体" w:eastAsia="宋体" w:cs="宋体"/>
                <w:color w:val="000000" w:themeColor="text1"/>
                <w:kern w:val="0"/>
                <w:szCs w:val="21"/>
                <w:lang w:eastAsia="zh-CN"/>
              </w:rPr>
            </w:pPr>
            <w:r>
              <w:rPr>
                <w:rFonts w:hint="eastAsia" w:ascii="宋体" w:hAnsi="宋体" w:eastAsia="宋体" w:cs="宋体"/>
                <w:color w:val="000000" w:themeColor="text1"/>
                <w:kern w:val="0"/>
                <w:szCs w:val="21"/>
                <w:lang w:val="en-US" w:eastAsia="zh-CN"/>
              </w:rPr>
              <w:t>2</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360" w:hRule="atLeast"/>
        </w:trPr>
        <w:tc>
          <w:tcPr>
            <w:tcW w:w="8372" w:type="dxa"/>
            <w:gridSpan w:val="4"/>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第二十条第（五）项</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360" w:hRule="atLeast"/>
        </w:trPr>
        <w:tc>
          <w:tcPr>
            <w:tcW w:w="2809"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信息内容</w:t>
            </w:r>
          </w:p>
        </w:tc>
        <w:tc>
          <w:tcPr>
            <w:tcW w:w="5563"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本年处理决定数量</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360" w:hRule="atLeast"/>
        </w:trPr>
        <w:tc>
          <w:tcPr>
            <w:tcW w:w="2809"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行政许可</w:t>
            </w:r>
          </w:p>
        </w:tc>
        <w:tc>
          <w:tcPr>
            <w:tcW w:w="5563"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360" w:hRule="atLeast"/>
        </w:trPr>
        <w:tc>
          <w:tcPr>
            <w:tcW w:w="8372" w:type="dxa"/>
            <w:gridSpan w:val="4"/>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第二十条第（六）项</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360" w:hRule="atLeast"/>
        </w:trPr>
        <w:tc>
          <w:tcPr>
            <w:tcW w:w="2809"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信息内容</w:t>
            </w:r>
          </w:p>
        </w:tc>
        <w:tc>
          <w:tcPr>
            <w:tcW w:w="5563"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本年处理决定数量</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360" w:hRule="atLeast"/>
        </w:trPr>
        <w:tc>
          <w:tcPr>
            <w:tcW w:w="2809"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行政处罚</w:t>
            </w:r>
          </w:p>
        </w:tc>
        <w:tc>
          <w:tcPr>
            <w:tcW w:w="5563"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360" w:hRule="atLeast"/>
        </w:trPr>
        <w:tc>
          <w:tcPr>
            <w:tcW w:w="2809"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行政强制</w:t>
            </w:r>
          </w:p>
        </w:tc>
        <w:tc>
          <w:tcPr>
            <w:tcW w:w="5563"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360" w:hRule="atLeast"/>
        </w:trPr>
        <w:tc>
          <w:tcPr>
            <w:tcW w:w="8372" w:type="dxa"/>
            <w:gridSpan w:val="4"/>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第二十条第（八）项</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360" w:hRule="atLeast"/>
        </w:trPr>
        <w:tc>
          <w:tcPr>
            <w:tcW w:w="2809"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信息内容</w:t>
            </w:r>
          </w:p>
        </w:tc>
        <w:tc>
          <w:tcPr>
            <w:tcW w:w="5563"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本年收费金额（单位：万元）</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360" w:hRule="atLeast"/>
        </w:trPr>
        <w:tc>
          <w:tcPr>
            <w:tcW w:w="2809"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行政事业性收费</w:t>
            </w:r>
          </w:p>
        </w:tc>
        <w:tc>
          <w:tcPr>
            <w:tcW w:w="5563"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0</w:t>
            </w:r>
          </w:p>
        </w:tc>
      </w:tr>
    </w:tbl>
    <w:p>
      <w:pPr>
        <w:widowControl/>
        <w:shd w:val="clear" w:color="auto" w:fill="FFFFFF"/>
        <w:adjustRightInd w:val="0"/>
        <w:spacing w:line="560" w:lineRule="exact"/>
        <w:ind w:firstLine="640" w:firstLineChars="200"/>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三、收到和处理政府信息公开申请情况</w:t>
      </w:r>
    </w:p>
    <w:tbl>
      <w:tblPr>
        <w:tblStyle w:val="8"/>
        <w:tblW w:w="0" w:type="auto"/>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24" w:type="dxa"/>
          <w:left w:w="24" w:type="dxa"/>
          <w:bottom w:w="24" w:type="dxa"/>
          <w:right w:w="24" w:type="dxa"/>
        </w:tblCellMar>
      </w:tblPr>
      <w:tblGrid>
        <w:gridCol w:w="495"/>
        <w:gridCol w:w="735"/>
        <w:gridCol w:w="3314"/>
        <w:gridCol w:w="567"/>
        <w:gridCol w:w="567"/>
        <w:gridCol w:w="567"/>
        <w:gridCol w:w="709"/>
        <w:gridCol w:w="709"/>
        <w:gridCol w:w="709"/>
        <w:gridCol w:w="567"/>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4544" w:type="dxa"/>
            <w:gridSpan w:val="3"/>
            <w:vMerge w:val="restart"/>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rPr>
                <w:rFonts w:ascii="宋体" w:hAnsi="宋体" w:eastAsia="宋体" w:cs="宋体"/>
                <w:color w:val="000000" w:themeColor="text1"/>
                <w:kern w:val="0"/>
                <w:szCs w:val="21"/>
              </w:rPr>
            </w:pPr>
            <w:r>
              <w:rPr>
                <w:rFonts w:ascii="宋体" w:hAnsi="宋体" w:eastAsia="宋体" w:cs="宋体"/>
                <w:color w:val="000000" w:themeColor="text1"/>
                <w:kern w:val="0"/>
                <w:szCs w:val="21"/>
              </w:rPr>
              <w:t>（本列数据的勾稽关系为：第一项加第二项之和，等于第三项加第四项之和）</w:t>
            </w:r>
          </w:p>
        </w:tc>
        <w:tc>
          <w:tcPr>
            <w:tcW w:w="4395" w:type="dxa"/>
            <w:gridSpan w:val="7"/>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申请人情况</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4544" w:type="dxa"/>
            <w:gridSpan w:val="3"/>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color w:val="000000" w:themeColor="text1"/>
                <w:kern w:val="0"/>
                <w:szCs w:val="21"/>
              </w:rPr>
            </w:pPr>
          </w:p>
        </w:tc>
        <w:tc>
          <w:tcPr>
            <w:tcW w:w="567" w:type="dxa"/>
            <w:vMerge w:val="restart"/>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自然人</w:t>
            </w:r>
          </w:p>
        </w:tc>
        <w:tc>
          <w:tcPr>
            <w:tcW w:w="3261" w:type="dxa"/>
            <w:gridSpan w:val="5"/>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法人或其他组织</w:t>
            </w:r>
          </w:p>
        </w:tc>
        <w:tc>
          <w:tcPr>
            <w:tcW w:w="567" w:type="dxa"/>
            <w:vMerge w:val="restart"/>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总计</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4544" w:type="dxa"/>
            <w:gridSpan w:val="3"/>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color w:val="000000" w:themeColor="text1"/>
                <w:kern w:val="0"/>
                <w:szCs w:val="21"/>
              </w:rPr>
            </w:pPr>
          </w:p>
        </w:tc>
        <w:tc>
          <w:tcPr>
            <w:tcW w:w="567" w:type="dxa"/>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商业企业</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科研机构</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社会公益组织</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法律服务机构</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其他</w:t>
            </w:r>
          </w:p>
        </w:tc>
        <w:tc>
          <w:tcPr>
            <w:tcW w:w="567" w:type="dxa"/>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4544" w:type="dxa"/>
            <w:gridSpan w:val="3"/>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rPr>
                <w:rFonts w:ascii="宋体" w:hAnsi="宋体" w:eastAsia="宋体" w:cs="宋体"/>
                <w:color w:val="000000" w:themeColor="text1"/>
                <w:kern w:val="0"/>
                <w:szCs w:val="21"/>
              </w:rPr>
            </w:pPr>
            <w:r>
              <w:rPr>
                <w:rFonts w:ascii="宋体" w:hAnsi="宋体" w:eastAsia="宋体" w:cs="宋体"/>
                <w:color w:val="000000" w:themeColor="text1"/>
                <w:kern w:val="0"/>
                <w:szCs w:val="21"/>
              </w:rPr>
              <w:t>一、本年新收政府信息公开申请数量</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hint="eastAsia" w:ascii="宋体" w:hAnsi="宋体" w:eastAsia="宋体" w:cs="宋体"/>
                <w:color w:val="000000" w:themeColor="text1"/>
                <w:kern w:val="0"/>
                <w:szCs w:val="21"/>
                <w:lang w:eastAsia="zh-CN"/>
              </w:rPr>
            </w:pPr>
            <w:r>
              <w:rPr>
                <w:rFonts w:hint="eastAsia" w:ascii="宋体" w:hAnsi="宋体" w:eastAsia="宋体" w:cs="宋体"/>
                <w:color w:val="000000" w:themeColor="text1"/>
                <w:kern w:val="0"/>
                <w:szCs w:val="21"/>
                <w:lang w:val="en-US" w:eastAsia="zh-CN"/>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hint="eastAsia" w:ascii="宋体" w:hAnsi="宋体" w:eastAsia="宋体" w:cs="宋体"/>
                <w:color w:val="000000" w:themeColor="text1"/>
                <w:kern w:val="0"/>
                <w:szCs w:val="21"/>
                <w:lang w:eastAsia="zh-CN"/>
              </w:rPr>
            </w:pPr>
            <w:r>
              <w:rPr>
                <w:rFonts w:hint="eastAsia" w:ascii="宋体" w:hAnsi="宋体" w:eastAsia="宋体" w:cs="宋体"/>
                <w:color w:val="000000" w:themeColor="text1"/>
                <w:kern w:val="0"/>
                <w:szCs w:val="21"/>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4544" w:type="dxa"/>
            <w:gridSpan w:val="3"/>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rPr>
                <w:rFonts w:ascii="宋体" w:hAnsi="宋体" w:eastAsia="宋体" w:cs="宋体"/>
                <w:color w:val="000000" w:themeColor="text1"/>
                <w:kern w:val="0"/>
                <w:szCs w:val="21"/>
              </w:rPr>
            </w:pPr>
            <w:r>
              <w:rPr>
                <w:rFonts w:ascii="宋体" w:hAnsi="宋体" w:eastAsia="宋体" w:cs="宋体"/>
                <w:color w:val="000000" w:themeColor="text1"/>
                <w:kern w:val="0"/>
                <w:szCs w:val="21"/>
              </w:rPr>
              <w:t>二、上年结转政府信息公开申请数量</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495" w:type="dxa"/>
            <w:vMerge w:val="restart"/>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rPr>
                <w:rFonts w:ascii="宋体" w:hAnsi="宋体" w:eastAsia="宋体" w:cs="宋体"/>
                <w:color w:val="000000" w:themeColor="text1"/>
                <w:kern w:val="0"/>
                <w:szCs w:val="21"/>
              </w:rPr>
            </w:pPr>
            <w:r>
              <w:rPr>
                <w:rFonts w:ascii="宋体" w:hAnsi="宋体" w:eastAsia="宋体" w:cs="宋体"/>
                <w:color w:val="000000" w:themeColor="text1"/>
                <w:kern w:val="0"/>
                <w:szCs w:val="21"/>
              </w:rPr>
              <w:t>三、本年度办理结果</w:t>
            </w:r>
          </w:p>
        </w:tc>
        <w:tc>
          <w:tcPr>
            <w:tcW w:w="4049"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rPr>
                <w:rFonts w:ascii="宋体" w:hAnsi="宋体" w:eastAsia="宋体" w:cs="宋体"/>
                <w:color w:val="000000" w:themeColor="text1"/>
                <w:kern w:val="0"/>
                <w:szCs w:val="21"/>
              </w:rPr>
            </w:pPr>
            <w:r>
              <w:rPr>
                <w:rFonts w:ascii="宋体" w:hAnsi="宋体" w:eastAsia="宋体" w:cs="宋体"/>
                <w:color w:val="000000" w:themeColor="text1"/>
                <w:kern w:val="0"/>
                <w:szCs w:val="21"/>
              </w:rPr>
              <w:t>（一）予以公开</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hint="eastAsia" w:ascii="宋体" w:hAnsi="宋体" w:eastAsia="宋体" w:cs="宋体"/>
                <w:color w:val="000000" w:themeColor="text1"/>
                <w:kern w:val="0"/>
                <w:szCs w:val="21"/>
                <w:lang w:eastAsia="zh-CN"/>
              </w:rPr>
            </w:pPr>
            <w:r>
              <w:rPr>
                <w:rFonts w:hint="eastAsia" w:ascii="宋体" w:hAnsi="宋体" w:eastAsia="宋体" w:cs="宋体"/>
                <w:color w:val="000000" w:themeColor="text1"/>
                <w:kern w:val="0"/>
                <w:szCs w:val="21"/>
                <w:lang w:val="en-US" w:eastAsia="zh-CN"/>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hint="eastAsia" w:ascii="宋体" w:hAnsi="宋体" w:eastAsia="宋体" w:cs="宋体"/>
                <w:color w:val="000000" w:themeColor="text1"/>
                <w:kern w:val="0"/>
                <w:szCs w:val="21"/>
                <w:lang w:eastAsia="zh-CN"/>
              </w:rPr>
            </w:pPr>
            <w:r>
              <w:rPr>
                <w:rFonts w:hint="eastAsia" w:ascii="宋体" w:hAnsi="宋体" w:eastAsia="宋体" w:cs="宋体"/>
                <w:color w:val="000000" w:themeColor="text1"/>
                <w:kern w:val="0"/>
                <w:szCs w:val="21"/>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0" w:type="auto"/>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color w:val="000000" w:themeColor="text1"/>
                <w:kern w:val="0"/>
                <w:szCs w:val="21"/>
              </w:rPr>
            </w:pPr>
          </w:p>
        </w:tc>
        <w:tc>
          <w:tcPr>
            <w:tcW w:w="4049"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rPr>
                <w:rFonts w:ascii="宋体" w:hAnsi="宋体" w:eastAsia="宋体" w:cs="宋体"/>
                <w:color w:val="000000" w:themeColor="text1"/>
                <w:kern w:val="0"/>
                <w:szCs w:val="21"/>
              </w:rPr>
            </w:pPr>
            <w:r>
              <w:rPr>
                <w:rFonts w:ascii="宋体" w:hAnsi="宋体" w:eastAsia="宋体" w:cs="宋体"/>
                <w:color w:val="000000" w:themeColor="text1"/>
                <w:kern w:val="0"/>
                <w:szCs w:val="21"/>
              </w:rPr>
              <w:t>（二）部分公开（区分处理的，只计这一情形，不计其他情形）</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374" w:hRule="atLeast"/>
        </w:trPr>
        <w:tc>
          <w:tcPr>
            <w:tcW w:w="0" w:type="auto"/>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color w:val="000000" w:themeColor="text1"/>
                <w:kern w:val="0"/>
                <w:szCs w:val="21"/>
              </w:rPr>
            </w:pPr>
          </w:p>
        </w:tc>
        <w:tc>
          <w:tcPr>
            <w:tcW w:w="735" w:type="dxa"/>
            <w:vMerge w:val="restart"/>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rPr>
                <w:rFonts w:ascii="宋体" w:hAnsi="宋体" w:eastAsia="宋体" w:cs="宋体"/>
                <w:color w:val="000000" w:themeColor="text1"/>
                <w:kern w:val="0"/>
                <w:szCs w:val="21"/>
              </w:rPr>
            </w:pPr>
            <w:r>
              <w:rPr>
                <w:rFonts w:ascii="宋体" w:hAnsi="宋体" w:eastAsia="宋体" w:cs="宋体"/>
                <w:color w:val="000000" w:themeColor="text1"/>
                <w:kern w:val="0"/>
                <w:szCs w:val="21"/>
              </w:rPr>
              <w:t>（三）不予公开</w:t>
            </w:r>
          </w:p>
        </w:tc>
        <w:tc>
          <w:tcPr>
            <w:tcW w:w="3314"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rPr>
                <w:rFonts w:ascii="宋体" w:hAnsi="宋体" w:eastAsia="宋体" w:cs="宋体"/>
                <w:color w:val="000000" w:themeColor="text1"/>
                <w:kern w:val="0"/>
                <w:szCs w:val="21"/>
              </w:rPr>
            </w:pPr>
            <w:r>
              <w:rPr>
                <w:rFonts w:ascii="宋体" w:hAnsi="宋体" w:eastAsia="宋体" w:cs="宋体"/>
                <w:color w:val="000000" w:themeColor="text1"/>
                <w:kern w:val="0"/>
                <w:szCs w:val="21"/>
              </w:rPr>
              <w:t>1.属于国家秘密</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341" w:hRule="atLeast"/>
        </w:trPr>
        <w:tc>
          <w:tcPr>
            <w:tcW w:w="0" w:type="auto"/>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color w:val="000000" w:themeColor="text1"/>
                <w:kern w:val="0"/>
                <w:szCs w:val="21"/>
              </w:rPr>
            </w:pPr>
          </w:p>
        </w:tc>
        <w:tc>
          <w:tcPr>
            <w:tcW w:w="0" w:type="auto"/>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color w:val="000000" w:themeColor="text1"/>
                <w:kern w:val="0"/>
                <w:szCs w:val="21"/>
              </w:rPr>
            </w:pPr>
          </w:p>
        </w:tc>
        <w:tc>
          <w:tcPr>
            <w:tcW w:w="3314"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rPr>
                <w:rFonts w:ascii="宋体" w:hAnsi="宋体" w:eastAsia="宋体" w:cs="宋体"/>
                <w:color w:val="000000" w:themeColor="text1"/>
                <w:kern w:val="0"/>
                <w:szCs w:val="21"/>
              </w:rPr>
            </w:pPr>
            <w:r>
              <w:rPr>
                <w:rFonts w:ascii="宋体" w:hAnsi="宋体" w:eastAsia="宋体" w:cs="宋体"/>
                <w:color w:val="000000" w:themeColor="text1"/>
                <w:kern w:val="0"/>
                <w:szCs w:val="21"/>
              </w:rPr>
              <w:t>2.其他法律行政法规禁止公开</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356" w:hRule="atLeast"/>
        </w:trPr>
        <w:tc>
          <w:tcPr>
            <w:tcW w:w="0" w:type="auto"/>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color w:val="000000" w:themeColor="text1"/>
                <w:kern w:val="0"/>
                <w:szCs w:val="21"/>
              </w:rPr>
            </w:pPr>
          </w:p>
        </w:tc>
        <w:tc>
          <w:tcPr>
            <w:tcW w:w="0" w:type="auto"/>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color w:val="000000" w:themeColor="text1"/>
                <w:kern w:val="0"/>
                <w:szCs w:val="21"/>
              </w:rPr>
            </w:pPr>
          </w:p>
        </w:tc>
        <w:tc>
          <w:tcPr>
            <w:tcW w:w="3314"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rPr>
                <w:rFonts w:ascii="宋体" w:hAnsi="宋体" w:eastAsia="宋体" w:cs="宋体"/>
                <w:color w:val="000000" w:themeColor="text1"/>
                <w:kern w:val="0"/>
                <w:szCs w:val="21"/>
              </w:rPr>
            </w:pPr>
            <w:r>
              <w:rPr>
                <w:rFonts w:ascii="宋体" w:hAnsi="宋体" w:eastAsia="宋体" w:cs="宋体"/>
                <w:color w:val="000000" w:themeColor="text1"/>
                <w:kern w:val="0"/>
                <w:szCs w:val="21"/>
              </w:rPr>
              <w:t>3.危及“三安全一稳定”</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412" w:hRule="atLeast"/>
        </w:trPr>
        <w:tc>
          <w:tcPr>
            <w:tcW w:w="0" w:type="auto"/>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color w:val="000000" w:themeColor="text1"/>
                <w:kern w:val="0"/>
                <w:szCs w:val="21"/>
              </w:rPr>
            </w:pPr>
          </w:p>
        </w:tc>
        <w:tc>
          <w:tcPr>
            <w:tcW w:w="0" w:type="auto"/>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color w:val="000000" w:themeColor="text1"/>
                <w:kern w:val="0"/>
                <w:szCs w:val="21"/>
              </w:rPr>
            </w:pPr>
          </w:p>
        </w:tc>
        <w:tc>
          <w:tcPr>
            <w:tcW w:w="3314"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rPr>
                <w:rFonts w:ascii="宋体" w:hAnsi="宋体" w:eastAsia="宋体" w:cs="宋体"/>
                <w:color w:val="000000" w:themeColor="text1"/>
                <w:kern w:val="0"/>
                <w:szCs w:val="21"/>
              </w:rPr>
            </w:pPr>
            <w:r>
              <w:rPr>
                <w:rFonts w:ascii="宋体" w:hAnsi="宋体" w:eastAsia="宋体" w:cs="宋体"/>
                <w:color w:val="000000" w:themeColor="text1"/>
                <w:kern w:val="0"/>
                <w:szCs w:val="21"/>
              </w:rPr>
              <w:t>4.保护第三方合法权益</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412" w:hRule="atLeast"/>
        </w:trPr>
        <w:tc>
          <w:tcPr>
            <w:tcW w:w="0" w:type="auto"/>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color w:val="000000" w:themeColor="text1"/>
                <w:kern w:val="0"/>
                <w:szCs w:val="21"/>
              </w:rPr>
            </w:pPr>
          </w:p>
        </w:tc>
        <w:tc>
          <w:tcPr>
            <w:tcW w:w="0" w:type="auto"/>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color w:val="000000" w:themeColor="text1"/>
                <w:kern w:val="0"/>
                <w:szCs w:val="21"/>
              </w:rPr>
            </w:pPr>
          </w:p>
        </w:tc>
        <w:tc>
          <w:tcPr>
            <w:tcW w:w="3314"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rPr>
                <w:rFonts w:ascii="宋体" w:hAnsi="宋体" w:eastAsia="宋体" w:cs="宋体"/>
                <w:color w:val="000000" w:themeColor="text1"/>
                <w:kern w:val="0"/>
                <w:szCs w:val="21"/>
              </w:rPr>
            </w:pPr>
            <w:r>
              <w:rPr>
                <w:rFonts w:ascii="宋体" w:hAnsi="宋体" w:eastAsia="宋体" w:cs="宋体"/>
                <w:color w:val="000000" w:themeColor="text1"/>
                <w:kern w:val="0"/>
                <w:szCs w:val="21"/>
              </w:rPr>
              <w:t>5.属于三类内部事务信息</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411" w:hRule="atLeast"/>
        </w:trPr>
        <w:tc>
          <w:tcPr>
            <w:tcW w:w="0" w:type="auto"/>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color w:val="000000" w:themeColor="text1"/>
                <w:kern w:val="0"/>
                <w:szCs w:val="21"/>
              </w:rPr>
            </w:pPr>
          </w:p>
        </w:tc>
        <w:tc>
          <w:tcPr>
            <w:tcW w:w="0" w:type="auto"/>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color w:val="000000" w:themeColor="text1"/>
                <w:kern w:val="0"/>
                <w:szCs w:val="21"/>
              </w:rPr>
            </w:pPr>
          </w:p>
        </w:tc>
        <w:tc>
          <w:tcPr>
            <w:tcW w:w="3314"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rPr>
                <w:rFonts w:ascii="宋体" w:hAnsi="宋体" w:eastAsia="宋体" w:cs="宋体"/>
                <w:color w:val="000000" w:themeColor="text1"/>
                <w:kern w:val="0"/>
                <w:szCs w:val="21"/>
              </w:rPr>
            </w:pPr>
            <w:r>
              <w:rPr>
                <w:rFonts w:ascii="宋体" w:hAnsi="宋体" w:eastAsia="宋体" w:cs="宋体"/>
                <w:color w:val="000000" w:themeColor="text1"/>
                <w:kern w:val="0"/>
                <w:szCs w:val="21"/>
              </w:rPr>
              <w:t>6.属于四类过程性信息</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426" w:hRule="atLeast"/>
        </w:trPr>
        <w:tc>
          <w:tcPr>
            <w:tcW w:w="0" w:type="auto"/>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color w:val="000000" w:themeColor="text1"/>
                <w:kern w:val="0"/>
                <w:szCs w:val="21"/>
              </w:rPr>
            </w:pPr>
          </w:p>
        </w:tc>
        <w:tc>
          <w:tcPr>
            <w:tcW w:w="0" w:type="auto"/>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color w:val="000000" w:themeColor="text1"/>
                <w:kern w:val="0"/>
                <w:szCs w:val="21"/>
              </w:rPr>
            </w:pPr>
          </w:p>
        </w:tc>
        <w:tc>
          <w:tcPr>
            <w:tcW w:w="3314"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rPr>
                <w:rFonts w:ascii="宋体" w:hAnsi="宋体" w:eastAsia="宋体" w:cs="宋体"/>
                <w:color w:val="000000" w:themeColor="text1"/>
                <w:kern w:val="0"/>
                <w:szCs w:val="21"/>
              </w:rPr>
            </w:pPr>
            <w:r>
              <w:rPr>
                <w:rFonts w:ascii="宋体" w:hAnsi="宋体" w:eastAsia="宋体" w:cs="宋体"/>
                <w:color w:val="000000" w:themeColor="text1"/>
                <w:kern w:val="0"/>
                <w:szCs w:val="21"/>
              </w:rPr>
              <w:t>7.属于行政执法案卷</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398" w:hRule="atLeast"/>
        </w:trPr>
        <w:tc>
          <w:tcPr>
            <w:tcW w:w="0" w:type="auto"/>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color w:val="000000" w:themeColor="text1"/>
                <w:kern w:val="0"/>
                <w:szCs w:val="21"/>
              </w:rPr>
            </w:pPr>
          </w:p>
        </w:tc>
        <w:tc>
          <w:tcPr>
            <w:tcW w:w="0" w:type="auto"/>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color w:val="000000" w:themeColor="text1"/>
                <w:kern w:val="0"/>
                <w:szCs w:val="21"/>
              </w:rPr>
            </w:pPr>
          </w:p>
        </w:tc>
        <w:tc>
          <w:tcPr>
            <w:tcW w:w="3314"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rPr>
                <w:rFonts w:ascii="宋体" w:hAnsi="宋体" w:eastAsia="宋体" w:cs="宋体"/>
                <w:color w:val="000000" w:themeColor="text1"/>
                <w:kern w:val="0"/>
                <w:szCs w:val="21"/>
              </w:rPr>
            </w:pPr>
            <w:r>
              <w:rPr>
                <w:rFonts w:ascii="宋体" w:hAnsi="宋体" w:eastAsia="宋体" w:cs="宋体"/>
                <w:color w:val="000000" w:themeColor="text1"/>
                <w:kern w:val="0"/>
                <w:szCs w:val="21"/>
              </w:rPr>
              <w:t>8.属于行政查询事项</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426" w:hRule="atLeast"/>
        </w:trPr>
        <w:tc>
          <w:tcPr>
            <w:tcW w:w="0" w:type="auto"/>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color w:val="000000" w:themeColor="text1"/>
                <w:kern w:val="0"/>
                <w:szCs w:val="21"/>
              </w:rPr>
            </w:pPr>
          </w:p>
        </w:tc>
        <w:tc>
          <w:tcPr>
            <w:tcW w:w="735" w:type="dxa"/>
            <w:vMerge w:val="restart"/>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rPr>
                <w:rFonts w:ascii="宋体" w:hAnsi="宋体" w:eastAsia="宋体" w:cs="宋体"/>
                <w:color w:val="000000" w:themeColor="text1"/>
                <w:kern w:val="0"/>
                <w:szCs w:val="21"/>
              </w:rPr>
            </w:pPr>
            <w:r>
              <w:rPr>
                <w:rFonts w:ascii="宋体" w:hAnsi="宋体" w:eastAsia="宋体" w:cs="宋体"/>
                <w:color w:val="000000" w:themeColor="text1"/>
                <w:kern w:val="0"/>
                <w:szCs w:val="21"/>
              </w:rPr>
              <w:t>（四）无法提供</w:t>
            </w:r>
          </w:p>
        </w:tc>
        <w:tc>
          <w:tcPr>
            <w:tcW w:w="3314"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rPr>
                <w:rFonts w:ascii="宋体" w:hAnsi="宋体" w:eastAsia="宋体" w:cs="宋体"/>
                <w:color w:val="000000" w:themeColor="text1"/>
                <w:kern w:val="0"/>
                <w:szCs w:val="21"/>
              </w:rPr>
            </w:pPr>
            <w:r>
              <w:rPr>
                <w:rFonts w:ascii="宋体" w:hAnsi="宋体" w:eastAsia="宋体" w:cs="宋体"/>
                <w:color w:val="000000" w:themeColor="text1"/>
                <w:kern w:val="0"/>
                <w:szCs w:val="21"/>
              </w:rPr>
              <w:t>1.本机关不掌握相关政府信息</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453" w:hRule="atLeast"/>
        </w:trPr>
        <w:tc>
          <w:tcPr>
            <w:tcW w:w="0" w:type="auto"/>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color w:val="000000" w:themeColor="text1"/>
                <w:kern w:val="0"/>
                <w:szCs w:val="21"/>
              </w:rPr>
            </w:pPr>
          </w:p>
        </w:tc>
        <w:tc>
          <w:tcPr>
            <w:tcW w:w="0" w:type="auto"/>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color w:val="000000" w:themeColor="text1"/>
                <w:kern w:val="0"/>
                <w:szCs w:val="21"/>
              </w:rPr>
            </w:pPr>
          </w:p>
        </w:tc>
        <w:tc>
          <w:tcPr>
            <w:tcW w:w="3314"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rPr>
                <w:rFonts w:ascii="宋体" w:hAnsi="宋体" w:eastAsia="宋体" w:cs="宋体"/>
                <w:color w:val="000000" w:themeColor="text1"/>
                <w:kern w:val="0"/>
                <w:szCs w:val="21"/>
              </w:rPr>
            </w:pPr>
            <w:r>
              <w:rPr>
                <w:rFonts w:ascii="宋体" w:hAnsi="宋体" w:eastAsia="宋体" w:cs="宋体"/>
                <w:color w:val="000000" w:themeColor="text1"/>
                <w:kern w:val="0"/>
                <w:szCs w:val="21"/>
              </w:rPr>
              <w:t>2.没有现成信息需要另行制作</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440" w:hRule="atLeast"/>
        </w:trPr>
        <w:tc>
          <w:tcPr>
            <w:tcW w:w="0" w:type="auto"/>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color w:val="000000" w:themeColor="text1"/>
                <w:kern w:val="0"/>
                <w:szCs w:val="21"/>
              </w:rPr>
            </w:pPr>
          </w:p>
        </w:tc>
        <w:tc>
          <w:tcPr>
            <w:tcW w:w="0" w:type="auto"/>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color w:val="000000" w:themeColor="text1"/>
                <w:kern w:val="0"/>
                <w:szCs w:val="21"/>
              </w:rPr>
            </w:pPr>
          </w:p>
        </w:tc>
        <w:tc>
          <w:tcPr>
            <w:tcW w:w="3314"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rPr>
                <w:rFonts w:ascii="宋体" w:hAnsi="宋体" w:eastAsia="宋体" w:cs="宋体"/>
                <w:color w:val="000000" w:themeColor="text1"/>
                <w:kern w:val="0"/>
                <w:szCs w:val="21"/>
              </w:rPr>
            </w:pPr>
            <w:r>
              <w:rPr>
                <w:rFonts w:ascii="宋体" w:hAnsi="宋体" w:eastAsia="宋体" w:cs="宋体"/>
                <w:color w:val="000000" w:themeColor="text1"/>
                <w:kern w:val="0"/>
                <w:szCs w:val="21"/>
              </w:rPr>
              <w:t>3.补正后申请内容仍不明确</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384" w:hRule="atLeast"/>
        </w:trPr>
        <w:tc>
          <w:tcPr>
            <w:tcW w:w="0" w:type="auto"/>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color w:val="000000" w:themeColor="text1"/>
                <w:kern w:val="0"/>
                <w:szCs w:val="21"/>
              </w:rPr>
            </w:pPr>
          </w:p>
        </w:tc>
        <w:tc>
          <w:tcPr>
            <w:tcW w:w="735" w:type="dxa"/>
            <w:vMerge w:val="restart"/>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rPr>
                <w:rFonts w:ascii="宋体" w:hAnsi="宋体" w:eastAsia="宋体" w:cs="宋体"/>
                <w:color w:val="000000" w:themeColor="text1"/>
                <w:kern w:val="0"/>
                <w:szCs w:val="21"/>
              </w:rPr>
            </w:pPr>
            <w:r>
              <w:rPr>
                <w:rFonts w:ascii="宋体" w:hAnsi="宋体" w:eastAsia="宋体" w:cs="宋体"/>
                <w:color w:val="000000" w:themeColor="text1"/>
                <w:kern w:val="0"/>
                <w:szCs w:val="21"/>
              </w:rPr>
              <w:t>（五）不予处理</w:t>
            </w:r>
          </w:p>
        </w:tc>
        <w:tc>
          <w:tcPr>
            <w:tcW w:w="3314"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rPr>
                <w:rFonts w:ascii="宋体" w:hAnsi="宋体" w:eastAsia="宋体" w:cs="宋体"/>
                <w:color w:val="000000" w:themeColor="text1"/>
                <w:kern w:val="0"/>
                <w:szCs w:val="21"/>
              </w:rPr>
            </w:pPr>
            <w:r>
              <w:rPr>
                <w:rFonts w:ascii="宋体" w:hAnsi="宋体" w:eastAsia="宋体" w:cs="宋体"/>
                <w:color w:val="000000" w:themeColor="text1"/>
                <w:kern w:val="0"/>
                <w:szCs w:val="21"/>
              </w:rPr>
              <w:t>1.信访举报投诉类申请</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440" w:hRule="atLeast"/>
        </w:trPr>
        <w:tc>
          <w:tcPr>
            <w:tcW w:w="0" w:type="auto"/>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color w:val="000000" w:themeColor="text1"/>
                <w:kern w:val="0"/>
                <w:szCs w:val="21"/>
              </w:rPr>
            </w:pPr>
          </w:p>
        </w:tc>
        <w:tc>
          <w:tcPr>
            <w:tcW w:w="0" w:type="auto"/>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color w:val="000000" w:themeColor="text1"/>
                <w:kern w:val="0"/>
                <w:szCs w:val="21"/>
              </w:rPr>
            </w:pPr>
          </w:p>
        </w:tc>
        <w:tc>
          <w:tcPr>
            <w:tcW w:w="3314"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rPr>
                <w:rFonts w:ascii="宋体" w:hAnsi="宋体" w:eastAsia="宋体" w:cs="宋体"/>
                <w:color w:val="000000" w:themeColor="text1"/>
                <w:kern w:val="0"/>
                <w:szCs w:val="21"/>
              </w:rPr>
            </w:pPr>
            <w:r>
              <w:rPr>
                <w:rFonts w:ascii="宋体" w:hAnsi="宋体" w:eastAsia="宋体" w:cs="宋体"/>
                <w:color w:val="000000" w:themeColor="text1"/>
                <w:kern w:val="0"/>
                <w:szCs w:val="21"/>
              </w:rPr>
              <w:t>2.重复申请</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425" w:hRule="atLeast"/>
        </w:trPr>
        <w:tc>
          <w:tcPr>
            <w:tcW w:w="0" w:type="auto"/>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color w:val="000000" w:themeColor="text1"/>
                <w:kern w:val="0"/>
                <w:szCs w:val="21"/>
              </w:rPr>
            </w:pPr>
          </w:p>
        </w:tc>
        <w:tc>
          <w:tcPr>
            <w:tcW w:w="0" w:type="auto"/>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color w:val="000000" w:themeColor="text1"/>
                <w:kern w:val="0"/>
                <w:szCs w:val="21"/>
              </w:rPr>
            </w:pPr>
          </w:p>
        </w:tc>
        <w:tc>
          <w:tcPr>
            <w:tcW w:w="3314"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rPr>
                <w:rFonts w:ascii="宋体" w:hAnsi="宋体" w:eastAsia="宋体" w:cs="宋体"/>
                <w:color w:val="000000" w:themeColor="text1"/>
                <w:kern w:val="0"/>
                <w:szCs w:val="21"/>
              </w:rPr>
            </w:pPr>
            <w:r>
              <w:rPr>
                <w:rFonts w:ascii="宋体" w:hAnsi="宋体" w:eastAsia="宋体" w:cs="宋体"/>
                <w:color w:val="000000" w:themeColor="text1"/>
                <w:kern w:val="0"/>
                <w:szCs w:val="21"/>
              </w:rPr>
              <w:t>3.要求提供公开出版物</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453" w:hRule="atLeast"/>
        </w:trPr>
        <w:tc>
          <w:tcPr>
            <w:tcW w:w="0" w:type="auto"/>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color w:val="000000" w:themeColor="text1"/>
                <w:kern w:val="0"/>
                <w:szCs w:val="21"/>
              </w:rPr>
            </w:pPr>
          </w:p>
        </w:tc>
        <w:tc>
          <w:tcPr>
            <w:tcW w:w="0" w:type="auto"/>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color w:val="000000" w:themeColor="text1"/>
                <w:kern w:val="0"/>
                <w:szCs w:val="21"/>
              </w:rPr>
            </w:pPr>
          </w:p>
        </w:tc>
        <w:tc>
          <w:tcPr>
            <w:tcW w:w="3314"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rPr>
                <w:rFonts w:ascii="宋体" w:hAnsi="宋体" w:eastAsia="宋体" w:cs="宋体"/>
                <w:color w:val="000000" w:themeColor="text1"/>
                <w:kern w:val="0"/>
                <w:szCs w:val="21"/>
              </w:rPr>
            </w:pPr>
            <w:r>
              <w:rPr>
                <w:rFonts w:ascii="宋体" w:hAnsi="宋体" w:eastAsia="宋体" w:cs="宋体"/>
                <w:color w:val="000000" w:themeColor="text1"/>
                <w:kern w:val="0"/>
                <w:szCs w:val="21"/>
              </w:rPr>
              <w:t>4.无正当理由大量反复申请</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0" w:type="auto"/>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color w:val="000000" w:themeColor="text1"/>
                <w:kern w:val="0"/>
                <w:szCs w:val="21"/>
              </w:rPr>
            </w:pPr>
          </w:p>
        </w:tc>
        <w:tc>
          <w:tcPr>
            <w:tcW w:w="0" w:type="auto"/>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color w:val="000000" w:themeColor="text1"/>
                <w:kern w:val="0"/>
                <w:szCs w:val="21"/>
              </w:rPr>
            </w:pPr>
          </w:p>
        </w:tc>
        <w:tc>
          <w:tcPr>
            <w:tcW w:w="3314"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rPr>
                <w:rFonts w:ascii="宋体" w:hAnsi="宋体" w:eastAsia="宋体" w:cs="宋体"/>
                <w:color w:val="000000" w:themeColor="text1"/>
                <w:kern w:val="0"/>
                <w:szCs w:val="21"/>
              </w:rPr>
            </w:pPr>
            <w:r>
              <w:rPr>
                <w:rFonts w:ascii="宋体" w:hAnsi="宋体" w:eastAsia="宋体" w:cs="宋体"/>
                <w:color w:val="000000" w:themeColor="text1"/>
                <w:kern w:val="0"/>
                <w:szCs w:val="21"/>
              </w:rPr>
              <w:t>5.要求行政机关确认或重新出具已获取信息</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0" w:type="auto"/>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color w:val="000000" w:themeColor="text1"/>
                <w:kern w:val="0"/>
                <w:szCs w:val="21"/>
              </w:rPr>
            </w:pPr>
          </w:p>
        </w:tc>
        <w:tc>
          <w:tcPr>
            <w:tcW w:w="735" w:type="dxa"/>
            <w:vMerge w:val="restart"/>
            <w:tcBorders>
              <w:top w:val="outset" w:color="000000" w:sz="6" w:space="0"/>
              <w:left w:val="outset" w:color="000000" w:sz="6" w:space="0"/>
              <w:right w:val="outset" w:color="000000" w:sz="6" w:space="0"/>
            </w:tcBorders>
            <w:tcMar>
              <w:top w:w="0" w:type="dxa"/>
              <w:left w:w="0" w:type="dxa"/>
              <w:bottom w:w="0" w:type="dxa"/>
              <w:right w:w="0" w:type="dxa"/>
            </w:tcMar>
            <w:vAlign w:val="center"/>
          </w:tcPr>
          <w:p>
            <w:pPr>
              <w:widowControl/>
              <w:rPr>
                <w:rFonts w:ascii="宋体" w:hAnsi="宋体" w:eastAsia="宋体" w:cs="宋体"/>
                <w:color w:val="000000" w:themeColor="text1"/>
                <w:kern w:val="0"/>
                <w:szCs w:val="21"/>
              </w:rPr>
            </w:pPr>
            <w:r>
              <w:rPr>
                <w:rFonts w:ascii="宋体" w:hAnsi="宋体" w:eastAsia="宋体" w:cs="宋体"/>
                <w:color w:val="000000" w:themeColor="text1"/>
                <w:kern w:val="0"/>
                <w:szCs w:val="21"/>
              </w:rPr>
              <w:t>（六）其他处理</w:t>
            </w:r>
          </w:p>
        </w:tc>
        <w:tc>
          <w:tcPr>
            <w:tcW w:w="3314" w:type="dxa"/>
            <w:tcBorders>
              <w:top w:val="outset" w:color="000000" w:sz="6" w:space="0"/>
              <w:left w:val="outset" w:color="000000" w:sz="6" w:space="0"/>
              <w:bottom w:val="outset" w:color="000000" w:sz="6" w:space="0"/>
              <w:right w:val="outset" w:color="000000" w:sz="6" w:space="0"/>
            </w:tcBorders>
            <w:vAlign w:val="center"/>
          </w:tcPr>
          <w:p>
            <w:pPr>
              <w:widowControl/>
              <w:rPr>
                <w:rFonts w:ascii="宋体" w:hAnsi="宋体" w:eastAsia="宋体" w:cs="宋体"/>
                <w:color w:val="000000" w:themeColor="text1"/>
                <w:kern w:val="0"/>
                <w:szCs w:val="21"/>
              </w:rPr>
            </w:pPr>
            <w:r>
              <w:rPr>
                <w:rFonts w:hint="eastAsia" w:ascii="宋体" w:hAnsi="宋体" w:eastAsia="宋体"/>
                <w:color w:val="000000" w:themeColor="text1"/>
                <w:szCs w:val="21"/>
              </w:rPr>
              <w:t>1.申请人无正当理由逾期不补正、行政机关不再处理其政府信息公开申请</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0" w:type="auto"/>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color w:val="000000" w:themeColor="text1"/>
                <w:kern w:val="0"/>
                <w:szCs w:val="21"/>
              </w:rPr>
            </w:pPr>
          </w:p>
        </w:tc>
        <w:tc>
          <w:tcPr>
            <w:tcW w:w="735" w:type="dxa"/>
            <w:vMerge w:val="continue"/>
            <w:tcBorders>
              <w:left w:val="outset" w:color="000000" w:sz="6" w:space="0"/>
              <w:right w:val="outset" w:color="000000" w:sz="6" w:space="0"/>
            </w:tcBorders>
            <w:tcMar>
              <w:top w:w="0" w:type="dxa"/>
              <w:left w:w="0" w:type="dxa"/>
              <w:bottom w:w="0" w:type="dxa"/>
              <w:right w:w="0" w:type="dxa"/>
            </w:tcMar>
            <w:vAlign w:val="center"/>
          </w:tcPr>
          <w:p>
            <w:pPr>
              <w:widowControl/>
              <w:rPr>
                <w:rFonts w:ascii="宋体" w:hAnsi="宋体" w:eastAsia="宋体" w:cs="宋体"/>
                <w:color w:val="000000" w:themeColor="text1"/>
                <w:kern w:val="0"/>
                <w:szCs w:val="21"/>
              </w:rPr>
            </w:pPr>
          </w:p>
        </w:tc>
        <w:tc>
          <w:tcPr>
            <w:tcW w:w="3314" w:type="dxa"/>
            <w:tcBorders>
              <w:top w:val="outset" w:color="000000" w:sz="6" w:space="0"/>
              <w:left w:val="outset" w:color="000000" w:sz="6" w:space="0"/>
              <w:bottom w:val="outset" w:color="000000" w:sz="6" w:space="0"/>
              <w:right w:val="outset" w:color="000000" w:sz="6" w:space="0"/>
            </w:tcBorders>
            <w:vAlign w:val="center"/>
          </w:tcPr>
          <w:p>
            <w:pPr>
              <w:widowControl/>
              <w:rPr>
                <w:rFonts w:ascii="宋体" w:hAnsi="宋体" w:eastAsia="宋体" w:cs="宋体"/>
                <w:color w:val="000000" w:themeColor="text1"/>
                <w:kern w:val="0"/>
                <w:szCs w:val="21"/>
              </w:rPr>
            </w:pPr>
            <w:r>
              <w:rPr>
                <w:rFonts w:hint="eastAsia" w:ascii="宋体" w:hAnsi="宋体" w:eastAsia="宋体"/>
                <w:color w:val="000000" w:themeColor="text1"/>
                <w:szCs w:val="21"/>
              </w:rPr>
              <w:t>2.申请人逾期未按收费通知要求缴纳费用、行政机关不再处理其政府信息公开申请</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0" w:type="auto"/>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color w:val="000000" w:themeColor="text1"/>
                <w:kern w:val="0"/>
                <w:szCs w:val="21"/>
              </w:rPr>
            </w:pPr>
          </w:p>
        </w:tc>
        <w:tc>
          <w:tcPr>
            <w:tcW w:w="735" w:type="dxa"/>
            <w:vMerge w:val="continue"/>
            <w:tcBorders>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rPr>
                <w:rFonts w:ascii="宋体" w:hAnsi="宋体" w:eastAsia="宋体" w:cs="宋体"/>
                <w:color w:val="000000" w:themeColor="text1"/>
                <w:kern w:val="0"/>
                <w:szCs w:val="21"/>
              </w:rPr>
            </w:pPr>
          </w:p>
        </w:tc>
        <w:tc>
          <w:tcPr>
            <w:tcW w:w="3314" w:type="dxa"/>
            <w:tcBorders>
              <w:top w:val="outset" w:color="000000" w:sz="6" w:space="0"/>
              <w:left w:val="outset" w:color="000000" w:sz="6" w:space="0"/>
              <w:bottom w:val="outset" w:color="000000" w:sz="6" w:space="0"/>
              <w:right w:val="outset" w:color="000000" w:sz="6" w:space="0"/>
            </w:tcBorders>
            <w:vAlign w:val="center"/>
          </w:tcPr>
          <w:p>
            <w:pPr>
              <w:widowControl/>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其它</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443" w:hRule="atLeast"/>
        </w:trPr>
        <w:tc>
          <w:tcPr>
            <w:tcW w:w="0" w:type="auto"/>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color w:val="000000" w:themeColor="text1"/>
                <w:kern w:val="0"/>
                <w:szCs w:val="21"/>
              </w:rPr>
            </w:pPr>
          </w:p>
        </w:tc>
        <w:tc>
          <w:tcPr>
            <w:tcW w:w="4049" w:type="dxa"/>
            <w:gridSpan w:val="2"/>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rPr>
                <w:rFonts w:ascii="宋体" w:hAnsi="宋体" w:eastAsia="宋体" w:cs="宋体"/>
                <w:color w:val="000000" w:themeColor="text1"/>
                <w:kern w:val="0"/>
                <w:szCs w:val="21"/>
              </w:rPr>
            </w:pPr>
            <w:r>
              <w:rPr>
                <w:rFonts w:ascii="宋体" w:hAnsi="宋体" w:eastAsia="宋体" w:cs="宋体"/>
                <w:color w:val="000000" w:themeColor="text1"/>
                <w:kern w:val="0"/>
                <w:szCs w:val="21"/>
              </w:rPr>
              <w:t>（七）总计</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hint="eastAsia" w:ascii="宋体" w:hAnsi="宋体" w:eastAsia="宋体" w:cs="宋体"/>
                <w:color w:val="000000" w:themeColor="text1"/>
                <w:kern w:val="0"/>
                <w:szCs w:val="21"/>
                <w:lang w:eastAsia="zh-CN"/>
              </w:rPr>
            </w:pPr>
            <w:r>
              <w:rPr>
                <w:rFonts w:hint="eastAsia" w:ascii="宋体" w:hAnsi="宋体" w:eastAsia="宋体" w:cs="宋体"/>
                <w:color w:val="000000" w:themeColor="text1"/>
                <w:kern w:val="0"/>
                <w:szCs w:val="21"/>
                <w:lang w:val="en-US" w:eastAsia="zh-CN"/>
              </w:rPr>
              <w:t>0</w:t>
            </w:r>
            <w:bookmarkStart w:id="0" w:name="_GoBack"/>
            <w:bookmarkEnd w:id="0"/>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hint="eastAsia" w:ascii="宋体" w:hAnsi="宋体" w:eastAsia="宋体" w:cs="宋体"/>
                <w:color w:val="000000" w:themeColor="text1"/>
                <w:kern w:val="0"/>
                <w:szCs w:val="21"/>
                <w:lang w:eastAsia="zh-CN"/>
              </w:rPr>
            </w:pPr>
            <w:r>
              <w:rPr>
                <w:rFonts w:hint="eastAsia" w:ascii="宋体" w:hAnsi="宋体" w:eastAsia="宋体" w:cs="宋体"/>
                <w:color w:val="000000" w:themeColor="text1"/>
                <w:kern w:val="0"/>
                <w:szCs w:val="21"/>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366" w:hRule="atLeast"/>
        </w:trPr>
        <w:tc>
          <w:tcPr>
            <w:tcW w:w="4544" w:type="dxa"/>
            <w:gridSpan w:val="3"/>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rPr>
                <w:rFonts w:ascii="宋体" w:hAnsi="宋体" w:eastAsia="宋体" w:cs="宋体"/>
                <w:color w:val="000000" w:themeColor="text1"/>
                <w:kern w:val="0"/>
                <w:szCs w:val="21"/>
              </w:rPr>
            </w:pPr>
            <w:r>
              <w:rPr>
                <w:rFonts w:ascii="宋体" w:hAnsi="宋体" w:eastAsia="宋体" w:cs="宋体"/>
                <w:color w:val="000000" w:themeColor="text1"/>
                <w:kern w:val="0"/>
                <w:szCs w:val="21"/>
              </w:rPr>
              <w:t>四、结转下年度继续办理</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09"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67"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r>
    </w:tbl>
    <w:p>
      <w:pPr>
        <w:widowControl/>
        <w:shd w:val="clear" w:color="auto" w:fill="FFFFFF"/>
        <w:adjustRightInd w:val="0"/>
        <w:spacing w:line="560" w:lineRule="exact"/>
        <w:ind w:firstLine="640" w:firstLineChars="200"/>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四、政府信息公开行政复议、行政诉讼情况</w:t>
      </w:r>
    </w:p>
    <w:tbl>
      <w:tblPr>
        <w:tblStyle w:val="8"/>
        <w:tblW w:w="0" w:type="auto"/>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24" w:type="dxa"/>
          <w:left w:w="24" w:type="dxa"/>
          <w:bottom w:w="24" w:type="dxa"/>
          <w:right w:w="24" w:type="dxa"/>
        </w:tblCellMar>
      </w:tblPr>
      <w:tblGrid>
        <w:gridCol w:w="372"/>
        <w:gridCol w:w="480"/>
        <w:gridCol w:w="480"/>
        <w:gridCol w:w="480"/>
        <w:gridCol w:w="540"/>
        <w:gridCol w:w="444"/>
        <w:gridCol w:w="480"/>
        <w:gridCol w:w="480"/>
        <w:gridCol w:w="480"/>
        <w:gridCol w:w="492"/>
        <w:gridCol w:w="480"/>
        <w:gridCol w:w="1925"/>
        <w:gridCol w:w="770"/>
        <w:gridCol w:w="588"/>
        <w:gridCol w:w="448"/>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2352" w:type="dxa"/>
            <w:gridSpan w:val="5"/>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行政复议</w:t>
            </w:r>
          </w:p>
        </w:tc>
        <w:tc>
          <w:tcPr>
            <w:tcW w:w="6587" w:type="dxa"/>
            <w:gridSpan w:val="10"/>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行政诉讼</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372" w:type="dxa"/>
            <w:vMerge w:val="restart"/>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结果维持</w:t>
            </w:r>
          </w:p>
        </w:tc>
        <w:tc>
          <w:tcPr>
            <w:tcW w:w="480" w:type="dxa"/>
            <w:vMerge w:val="restart"/>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结果纠正</w:t>
            </w:r>
          </w:p>
        </w:tc>
        <w:tc>
          <w:tcPr>
            <w:tcW w:w="480" w:type="dxa"/>
            <w:vMerge w:val="restart"/>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其他结果</w:t>
            </w:r>
          </w:p>
        </w:tc>
        <w:tc>
          <w:tcPr>
            <w:tcW w:w="480" w:type="dxa"/>
            <w:vMerge w:val="restart"/>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尚未审结</w:t>
            </w:r>
          </w:p>
        </w:tc>
        <w:tc>
          <w:tcPr>
            <w:tcW w:w="540" w:type="dxa"/>
            <w:vMerge w:val="restart"/>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总计</w:t>
            </w:r>
          </w:p>
        </w:tc>
        <w:tc>
          <w:tcPr>
            <w:tcW w:w="2376" w:type="dxa"/>
            <w:gridSpan w:val="5"/>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未经复议直接起诉</w:t>
            </w:r>
          </w:p>
        </w:tc>
        <w:tc>
          <w:tcPr>
            <w:tcW w:w="4211" w:type="dxa"/>
            <w:gridSpan w:val="5"/>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复议后起诉</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0" w:type="auto"/>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color w:val="000000" w:themeColor="text1"/>
                <w:kern w:val="0"/>
                <w:szCs w:val="21"/>
              </w:rPr>
            </w:pPr>
          </w:p>
        </w:tc>
        <w:tc>
          <w:tcPr>
            <w:tcW w:w="0" w:type="auto"/>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color w:val="000000" w:themeColor="text1"/>
                <w:kern w:val="0"/>
                <w:szCs w:val="21"/>
              </w:rPr>
            </w:pPr>
          </w:p>
        </w:tc>
        <w:tc>
          <w:tcPr>
            <w:tcW w:w="0" w:type="auto"/>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color w:val="000000" w:themeColor="text1"/>
                <w:kern w:val="0"/>
                <w:szCs w:val="21"/>
              </w:rPr>
            </w:pPr>
          </w:p>
        </w:tc>
        <w:tc>
          <w:tcPr>
            <w:tcW w:w="0" w:type="auto"/>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color w:val="000000" w:themeColor="text1"/>
                <w:kern w:val="0"/>
                <w:szCs w:val="21"/>
              </w:rPr>
            </w:pPr>
          </w:p>
        </w:tc>
        <w:tc>
          <w:tcPr>
            <w:tcW w:w="0" w:type="auto"/>
            <w:vMerge w:val="continue"/>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left"/>
              <w:rPr>
                <w:rFonts w:ascii="宋体" w:hAnsi="宋体" w:eastAsia="宋体" w:cs="宋体"/>
                <w:color w:val="000000" w:themeColor="text1"/>
                <w:kern w:val="0"/>
                <w:szCs w:val="21"/>
              </w:rPr>
            </w:pPr>
          </w:p>
        </w:tc>
        <w:tc>
          <w:tcPr>
            <w:tcW w:w="444"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结果维持</w:t>
            </w:r>
          </w:p>
        </w:tc>
        <w:tc>
          <w:tcPr>
            <w:tcW w:w="48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结果纠正</w:t>
            </w:r>
          </w:p>
        </w:tc>
        <w:tc>
          <w:tcPr>
            <w:tcW w:w="48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其他结果</w:t>
            </w:r>
          </w:p>
        </w:tc>
        <w:tc>
          <w:tcPr>
            <w:tcW w:w="48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尚未审结</w:t>
            </w:r>
          </w:p>
        </w:tc>
        <w:tc>
          <w:tcPr>
            <w:tcW w:w="492"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总计</w:t>
            </w:r>
          </w:p>
        </w:tc>
        <w:tc>
          <w:tcPr>
            <w:tcW w:w="48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结果维持</w:t>
            </w:r>
          </w:p>
        </w:tc>
        <w:tc>
          <w:tcPr>
            <w:tcW w:w="1925"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结果纠正</w:t>
            </w:r>
          </w:p>
        </w:tc>
        <w:tc>
          <w:tcPr>
            <w:tcW w:w="77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其他结果</w:t>
            </w:r>
          </w:p>
        </w:tc>
        <w:tc>
          <w:tcPr>
            <w:tcW w:w="588"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尚未审结</w:t>
            </w:r>
          </w:p>
        </w:tc>
        <w:tc>
          <w:tcPr>
            <w:tcW w:w="448"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总计</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372"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48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48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48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4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444"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48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48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48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492"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48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1925"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770"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588"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c>
          <w:tcPr>
            <w:tcW w:w="448" w:type="dxa"/>
            <w:tcBorders>
              <w:top w:val="outset" w:color="000000" w:sz="6" w:space="0"/>
              <w:left w:val="outset" w:color="000000" w:sz="6" w:space="0"/>
              <w:bottom w:val="outset" w:color="000000" w:sz="6" w:space="0"/>
              <w:right w:val="outset" w:color="000000" w:sz="6" w:space="0"/>
            </w:tcBorders>
            <w:tcMar>
              <w:top w:w="0" w:type="dxa"/>
              <w:left w:w="0" w:type="dxa"/>
              <w:bottom w:w="0" w:type="dxa"/>
              <w:right w:w="0" w:type="dxa"/>
            </w:tcMar>
            <w:vAlign w:val="center"/>
          </w:tcPr>
          <w:p>
            <w:pPr>
              <w:widowControl/>
              <w:jc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0</w:t>
            </w:r>
          </w:p>
        </w:tc>
      </w:tr>
    </w:tbl>
    <w:p>
      <w:pPr>
        <w:widowControl/>
        <w:shd w:val="clear" w:color="auto" w:fill="FFFFFF"/>
        <w:adjustRightInd w:val="0"/>
        <w:spacing w:line="560" w:lineRule="exact"/>
        <w:ind w:firstLine="640" w:firstLineChars="200"/>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五、存在的主要问题和改进措施</w:t>
      </w:r>
    </w:p>
    <w:p>
      <w:pPr>
        <w:widowControl/>
        <w:shd w:val="clear" w:color="auto" w:fill="FFFFFF"/>
        <w:spacing w:line="560" w:lineRule="exact"/>
        <w:ind w:firstLine="640" w:firstLineChars="200"/>
        <w:jc w:val="left"/>
        <w:rPr>
          <w:rFonts w:ascii="仿宋_GB2312" w:hAnsi="Calibri" w:eastAsia="仿宋_GB2312" w:cs="Calibri"/>
          <w:color w:val="000000" w:themeColor="text1"/>
          <w:kern w:val="0"/>
          <w:sz w:val="32"/>
          <w:szCs w:val="32"/>
        </w:rPr>
      </w:pPr>
      <w:r>
        <w:rPr>
          <w:rFonts w:hint="eastAsia" w:ascii="仿宋_GB2312" w:hAnsi="Times New Roman" w:eastAsia="仿宋_GB2312" w:cs="Times New Roman"/>
          <w:color w:val="000000" w:themeColor="text1"/>
          <w:kern w:val="0"/>
          <w:sz w:val="32"/>
          <w:szCs w:val="32"/>
        </w:rPr>
        <w:t>2021</w:t>
      </w:r>
      <w:r>
        <w:rPr>
          <w:rFonts w:hint="eastAsia" w:ascii="仿宋_GB2312" w:hAnsi="仿宋" w:eastAsia="仿宋_GB2312" w:cs="宋体"/>
          <w:color w:val="000000" w:themeColor="text1"/>
          <w:kern w:val="0"/>
          <w:sz w:val="32"/>
          <w:szCs w:val="32"/>
        </w:rPr>
        <w:t>年，我局政务公开工作在</w:t>
      </w:r>
      <w:r>
        <w:rPr>
          <w:rFonts w:hint="eastAsia" w:ascii="仿宋_GB2312" w:hAnsi="仿宋" w:eastAsia="仿宋_GB2312" w:cs="宋体"/>
          <w:color w:val="000000" w:themeColor="text1"/>
          <w:kern w:val="0"/>
          <w:sz w:val="32"/>
          <w:szCs w:val="32"/>
          <w:lang w:eastAsia="zh-CN"/>
        </w:rPr>
        <w:t>市政府政务公开科</w:t>
      </w:r>
      <w:r>
        <w:rPr>
          <w:rFonts w:hint="eastAsia" w:ascii="仿宋_GB2312" w:hAnsi="仿宋" w:eastAsia="仿宋_GB2312" w:cs="宋体"/>
          <w:color w:val="000000" w:themeColor="text1"/>
          <w:kern w:val="0"/>
          <w:sz w:val="32"/>
          <w:szCs w:val="32"/>
        </w:rPr>
        <w:t>的精心指导下，得到进一步提升，取得了一定的成效，但仍存在着</w:t>
      </w:r>
      <w:r>
        <w:rPr>
          <w:rFonts w:hint="eastAsia" w:ascii="仿宋_GB2312" w:hAnsi="等线" w:eastAsia="仿宋_GB2312" w:cs="Times New Roman"/>
          <w:color w:val="000000" w:themeColor="text1"/>
          <w:sz w:val="32"/>
          <w:szCs w:val="32"/>
        </w:rPr>
        <w:t>部分干部职工对政府信息公开的范围和时效理解有偏差；</w:t>
      </w:r>
      <w:r>
        <w:rPr>
          <w:rFonts w:hint="eastAsia" w:ascii="仿宋_GB2312" w:hAnsi="Calibri" w:eastAsia="仿宋_GB2312" w:cs="Calibri"/>
          <w:color w:val="000000" w:themeColor="text1"/>
          <w:kern w:val="0"/>
          <w:sz w:val="32"/>
          <w:szCs w:val="32"/>
        </w:rPr>
        <w:t>政策解读形式不够丰富，主要以文字和图片解读为主，解读</w:t>
      </w:r>
      <w:r>
        <w:rPr>
          <w:rFonts w:hint="eastAsia" w:ascii="仿宋_GB2312" w:hAnsi="Calibri" w:eastAsia="仿宋_GB2312" w:cs="Calibri"/>
          <w:color w:val="000000" w:themeColor="text1"/>
          <w:kern w:val="0"/>
          <w:sz w:val="32"/>
          <w:szCs w:val="32"/>
          <w:lang w:eastAsia="zh-CN"/>
        </w:rPr>
        <w:t>多样性</w:t>
      </w:r>
      <w:r>
        <w:rPr>
          <w:rFonts w:hint="eastAsia" w:ascii="仿宋_GB2312" w:hAnsi="Calibri" w:eastAsia="仿宋_GB2312" w:cs="Calibri"/>
          <w:color w:val="000000" w:themeColor="text1"/>
          <w:kern w:val="0"/>
          <w:sz w:val="32"/>
          <w:szCs w:val="32"/>
        </w:rPr>
        <w:t>方面有待加强等问题。</w:t>
      </w:r>
    </w:p>
    <w:p>
      <w:pPr>
        <w:widowControl/>
        <w:shd w:val="clear" w:color="auto" w:fill="FFFFFF"/>
        <w:spacing w:line="560" w:lineRule="exact"/>
        <w:ind w:firstLine="643"/>
        <w:jc w:val="left"/>
        <w:rPr>
          <w:rFonts w:ascii="仿宋_GB2312" w:eastAsia="仿宋_GB2312"/>
          <w:color w:val="000000" w:themeColor="text1"/>
          <w:sz w:val="32"/>
          <w:szCs w:val="32"/>
        </w:rPr>
      </w:pPr>
      <w:r>
        <w:rPr>
          <w:rFonts w:hint="eastAsia" w:ascii="仿宋_GB2312" w:hAnsi="Calibri" w:eastAsia="仿宋_GB2312" w:cs="Calibri"/>
          <w:color w:val="000000" w:themeColor="text1"/>
          <w:kern w:val="0"/>
          <w:sz w:val="32"/>
          <w:szCs w:val="32"/>
        </w:rPr>
        <w:t>下一步我局将</w:t>
      </w:r>
      <w:r>
        <w:rPr>
          <w:rFonts w:hint="eastAsia" w:ascii="仿宋_GB2312" w:eastAsia="仿宋_GB2312"/>
          <w:color w:val="000000" w:themeColor="text1"/>
          <w:sz w:val="32"/>
          <w:szCs w:val="32"/>
        </w:rPr>
        <w:t>进一步加强政务公开培训，提升干部职工主动公开意识，强化政务公开工作重视程度，丰富公开内容，按照“以公开为原则,不公开为例外”的原则,扎实做好公开和不予公开两类政府信息的界定，及时主动更开；定期开展监测。根据年度重点工作任务，不定期开展巡查、监测，确保各栏目及时更新；</w:t>
      </w:r>
      <w:r>
        <w:rPr>
          <w:rFonts w:hint="eastAsia" w:ascii="仿宋_GB2312" w:hAnsi="仿宋" w:eastAsia="仿宋_GB2312"/>
          <w:color w:val="000000" w:themeColor="text1"/>
          <w:sz w:val="32"/>
          <w:szCs w:val="32"/>
        </w:rPr>
        <w:t>继续加强与</w:t>
      </w:r>
      <w:r>
        <w:rPr>
          <w:rFonts w:hint="eastAsia" w:ascii="仿宋_GB2312" w:hAnsi="仿宋" w:eastAsia="仿宋_GB2312" w:cs="宋体"/>
          <w:color w:val="000000" w:themeColor="text1"/>
          <w:kern w:val="0"/>
          <w:sz w:val="32"/>
          <w:szCs w:val="32"/>
          <w:lang w:eastAsia="zh-CN"/>
        </w:rPr>
        <w:t>市政府政务公开科</w:t>
      </w:r>
      <w:r>
        <w:rPr>
          <w:rFonts w:hint="eastAsia" w:ascii="仿宋_GB2312" w:hAnsi="仿宋" w:eastAsia="仿宋_GB2312"/>
          <w:color w:val="000000" w:themeColor="text1"/>
          <w:sz w:val="32"/>
          <w:szCs w:val="32"/>
        </w:rPr>
        <w:t>对接交流，认真学习借鉴先进单位的做法和经验，不断提高我局政务公开工作水平</w:t>
      </w:r>
      <w:r>
        <w:rPr>
          <w:rFonts w:hint="eastAsia" w:ascii="仿宋_GB2312" w:eastAsia="仿宋_GB2312"/>
          <w:color w:val="000000" w:themeColor="text1"/>
          <w:sz w:val="32"/>
          <w:szCs w:val="32"/>
        </w:rPr>
        <w:t>。</w:t>
      </w:r>
    </w:p>
    <w:p>
      <w:pPr>
        <w:widowControl/>
        <w:shd w:val="clear" w:color="auto" w:fill="FFFFFF"/>
        <w:adjustRightInd w:val="0"/>
        <w:spacing w:line="560" w:lineRule="exact"/>
        <w:ind w:firstLine="640" w:firstLineChars="200"/>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六、其他需要报告的事项</w:t>
      </w:r>
    </w:p>
    <w:p>
      <w:pPr>
        <w:pStyle w:val="6"/>
        <w:widowControl/>
        <w:spacing w:line="560" w:lineRule="exact"/>
        <w:ind w:firstLine="640" w:firstLineChars="200"/>
        <w:rPr>
          <w:rFonts w:hint="default" w:ascii="仿宋_GB2312" w:eastAsia="仿宋_GB2312"/>
          <w:color w:val="000000" w:themeColor="text1"/>
          <w:sz w:val="32"/>
          <w:szCs w:val="32"/>
        </w:rPr>
      </w:pPr>
      <w:r>
        <w:rPr>
          <w:rFonts w:ascii="仿宋_GB2312" w:eastAsia="仿宋_GB2312"/>
          <w:bCs/>
          <w:color w:val="000000" w:themeColor="text1"/>
          <w:sz w:val="32"/>
          <w:szCs w:val="32"/>
        </w:rPr>
        <w:t>本机关按照《国务院办公厅关于印发〈政府信息公开信息处理费管理办法〉的通知》（国办函〔</w:t>
      </w:r>
      <w:r>
        <w:rPr>
          <w:rFonts w:ascii="仿宋_GB2312" w:eastAsia="仿宋_GB2312"/>
          <w:color w:val="000000" w:themeColor="text1"/>
          <w:sz w:val="32"/>
          <w:szCs w:val="32"/>
        </w:rPr>
        <w:t>2020</w:t>
      </w:r>
      <w:r>
        <w:rPr>
          <w:rFonts w:ascii="仿宋_GB2312" w:eastAsia="仿宋_GB2312"/>
          <w:bCs/>
          <w:color w:val="000000" w:themeColor="text1"/>
          <w:sz w:val="32"/>
          <w:szCs w:val="32"/>
        </w:rPr>
        <w:t>〕</w:t>
      </w:r>
      <w:r>
        <w:rPr>
          <w:rFonts w:ascii="仿宋_GB2312" w:eastAsia="仿宋_GB2312"/>
          <w:color w:val="000000" w:themeColor="text1"/>
          <w:sz w:val="32"/>
          <w:szCs w:val="32"/>
        </w:rPr>
        <w:t>109</w:t>
      </w:r>
      <w:r>
        <w:rPr>
          <w:rFonts w:ascii="仿宋_GB2312" w:eastAsia="仿宋_GB2312"/>
          <w:bCs/>
          <w:color w:val="000000" w:themeColor="text1"/>
          <w:sz w:val="32"/>
          <w:szCs w:val="32"/>
        </w:rPr>
        <w:t>号）规定的按件、按量收费标准，本年度没有产生信息公开处理费。</w:t>
      </w:r>
    </w:p>
    <w:p>
      <w:pPr>
        <w:widowControl/>
        <w:shd w:val="clear" w:color="auto" w:fill="FFFFFF"/>
        <w:spacing w:line="560" w:lineRule="exact"/>
        <w:ind w:firstLine="643"/>
        <w:jc w:val="left"/>
        <w:rPr>
          <w:rFonts w:ascii="仿宋_GB2312" w:eastAsia="仿宋_GB2312"/>
          <w:color w:val="000000" w:themeColor="text1"/>
        </w:rPr>
      </w:pPr>
    </w:p>
    <w:p>
      <w:pPr>
        <w:widowControl/>
        <w:shd w:val="clear" w:color="auto" w:fill="FFFFFF"/>
        <w:spacing w:line="560" w:lineRule="atLeast"/>
        <w:ind w:firstLine="643"/>
        <w:jc w:val="left"/>
        <w:rPr>
          <w:rFonts w:ascii="Calibri" w:hAnsi="Calibri" w:eastAsia="宋体" w:cs="Calibri"/>
          <w:color w:val="000000" w:themeColor="text1"/>
          <w:kern w:val="0"/>
          <w:szCs w:val="21"/>
        </w:rPr>
      </w:pPr>
    </w:p>
    <w:sectPr>
      <w:pgSz w:w="11906" w:h="16838"/>
      <w:pgMar w:top="1418" w:right="1474"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
    <w:panose1 w:val="00000000000000000000"/>
    <w:charset w:val="86"/>
    <w:family w:val="auto"/>
    <w:pitch w:val="default"/>
    <w:sig w:usb0="00000000" w:usb1="00000000" w:usb2="00000016" w:usb3="00000000" w:csb0="0004000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ahoma">
    <w:altName w:val="DejaVu Sans"/>
    <w:panose1 w:val="020B0604030504040204"/>
    <w:charset w:val="00"/>
    <w:family w:val="swiss"/>
    <w:pitch w:val="default"/>
    <w:sig w:usb0="00000000" w:usb1="00000000" w:usb2="00000029" w:usb3="00000000" w:csb0="000101FF" w:csb1="00000000"/>
  </w:font>
  <w:font w:name="微软雅黑">
    <w:altName w:val="黑体"/>
    <w:panose1 w:val="020B0503020204020204"/>
    <w:charset w:val="86"/>
    <w:family w:val="swiss"/>
    <w:pitch w:val="default"/>
    <w:sig w:usb0="00000000" w:usb1="00000000" w:usb2="00000016" w:usb3="00000000" w:csb0="0004001F" w:csb1="00000000"/>
  </w:font>
  <w:font w:name="等线">
    <w:altName w:val="仿宋"/>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7160"/>
    <w:rsid w:val="00016E40"/>
    <w:rsid w:val="00042290"/>
    <w:rsid w:val="000528C4"/>
    <w:rsid w:val="00055F65"/>
    <w:rsid w:val="00066CBB"/>
    <w:rsid w:val="00073B44"/>
    <w:rsid w:val="000B259F"/>
    <w:rsid w:val="000D0B4B"/>
    <w:rsid w:val="000F6BE3"/>
    <w:rsid w:val="00110586"/>
    <w:rsid w:val="00163FD8"/>
    <w:rsid w:val="00176469"/>
    <w:rsid w:val="001A4C9D"/>
    <w:rsid w:val="001C117C"/>
    <w:rsid w:val="001F0835"/>
    <w:rsid w:val="00237C68"/>
    <w:rsid w:val="00264A11"/>
    <w:rsid w:val="00297BE3"/>
    <w:rsid w:val="002A7221"/>
    <w:rsid w:val="002D3C34"/>
    <w:rsid w:val="003056CF"/>
    <w:rsid w:val="003322C8"/>
    <w:rsid w:val="00340954"/>
    <w:rsid w:val="00376875"/>
    <w:rsid w:val="00422261"/>
    <w:rsid w:val="00443683"/>
    <w:rsid w:val="00476411"/>
    <w:rsid w:val="0048131C"/>
    <w:rsid w:val="004B323E"/>
    <w:rsid w:val="004B3368"/>
    <w:rsid w:val="004B6272"/>
    <w:rsid w:val="00501BD6"/>
    <w:rsid w:val="0053365B"/>
    <w:rsid w:val="00583C5F"/>
    <w:rsid w:val="005866DF"/>
    <w:rsid w:val="005E78FF"/>
    <w:rsid w:val="006365F5"/>
    <w:rsid w:val="006546AB"/>
    <w:rsid w:val="006A3C0A"/>
    <w:rsid w:val="006D0B84"/>
    <w:rsid w:val="006D20E5"/>
    <w:rsid w:val="006D547F"/>
    <w:rsid w:val="006E061E"/>
    <w:rsid w:val="006E2B44"/>
    <w:rsid w:val="007252E8"/>
    <w:rsid w:val="00731395"/>
    <w:rsid w:val="00780825"/>
    <w:rsid w:val="00783567"/>
    <w:rsid w:val="007C07A7"/>
    <w:rsid w:val="007C1151"/>
    <w:rsid w:val="007D445F"/>
    <w:rsid w:val="007E223D"/>
    <w:rsid w:val="00802090"/>
    <w:rsid w:val="0084295E"/>
    <w:rsid w:val="00843010"/>
    <w:rsid w:val="00871900"/>
    <w:rsid w:val="00876981"/>
    <w:rsid w:val="00880754"/>
    <w:rsid w:val="008C14F2"/>
    <w:rsid w:val="008D6D08"/>
    <w:rsid w:val="00957C7F"/>
    <w:rsid w:val="00957E51"/>
    <w:rsid w:val="00984FAF"/>
    <w:rsid w:val="009B7688"/>
    <w:rsid w:val="009B7ABA"/>
    <w:rsid w:val="009D5611"/>
    <w:rsid w:val="009F2A70"/>
    <w:rsid w:val="00A0377E"/>
    <w:rsid w:val="00A5137A"/>
    <w:rsid w:val="00A577CA"/>
    <w:rsid w:val="00A61D31"/>
    <w:rsid w:val="00B014FB"/>
    <w:rsid w:val="00B06CFA"/>
    <w:rsid w:val="00B26C02"/>
    <w:rsid w:val="00B31DE8"/>
    <w:rsid w:val="00B548CE"/>
    <w:rsid w:val="00B8492F"/>
    <w:rsid w:val="00BF4AC6"/>
    <w:rsid w:val="00BF514E"/>
    <w:rsid w:val="00C63F89"/>
    <w:rsid w:val="00C64CF9"/>
    <w:rsid w:val="00C703B4"/>
    <w:rsid w:val="00CB6584"/>
    <w:rsid w:val="00CD3F90"/>
    <w:rsid w:val="00CE4AAB"/>
    <w:rsid w:val="00D102F1"/>
    <w:rsid w:val="00D14A05"/>
    <w:rsid w:val="00D24E7A"/>
    <w:rsid w:val="00D27178"/>
    <w:rsid w:val="00D45283"/>
    <w:rsid w:val="00D61708"/>
    <w:rsid w:val="00D764E1"/>
    <w:rsid w:val="00DE7EAD"/>
    <w:rsid w:val="00E21D4B"/>
    <w:rsid w:val="00E249F0"/>
    <w:rsid w:val="00E50A7D"/>
    <w:rsid w:val="00E643B8"/>
    <w:rsid w:val="00E7307F"/>
    <w:rsid w:val="00ED2DE3"/>
    <w:rsid w:val="00EF5F02"/>
    <w:rsid w:val="00F17160"/>
    <w:rsid w:val="00F42345"/>
    <w:rsid w:val="00F57F56"/>
    <w:rsid w:val="00F87570"/>
    <w:rsid w:val="00FC5E73"/>
    <w:rsid w:val="1F1FD452"/>
    <w:rsid w:val="64D7760F"/>
    <w:rsid w:val="70A34BE9"/>
    <w:rsid w:val="72250236"/>
    <w:rsid w:val="BED5B72D"/>
    <w:rsid w:val="FAB5D602"/>
    <w:rsid w:val="FE3F7D26"/>
    <w:rsid w:val="FFF565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5"/>
    <w:semiHidden/>
    <w:unhideWhenUsed/>
    <w:qFormat/>
    <w:uiPriority w:val="99"/>
    <w:pPr>
      <w:tabs>
        <w:tab w:val="center" w:pos="4153"/>
        <w:tab w:val="right" w:pos="8306"/>
      </w:tabs>
      <w:snapToGrid w:val="0"/>
      <w:jc w:val="left"/>
    </w:pPr>
    <w:rPr>
      <w:sz w:val="18"/>
      <w:szCs w:val="18"/>
    </w:rPr>
  </w:style>
  <w:style w:type="paragraph" w:styleId="5">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semiHidden/>
    <w:unhideWhenUsed/>
    <w:qFormat/>
    <w:uiPriority w:val="99"/>
    <w:rPr>
      <w:color w:val="0000FF"/>
      <w:u w:val="single"/>
    </w:rPr>
  </w:style>
  <w:style w:type="character" w:customStyle="1" w:styleId="11">
    <w:name w:val="标题 1 Char"/>
    <w:basedOn w:val="9"/>
    <w:link w:val="2"/>
    <w:qFormat/>
    <w:uiPriority w:val="9"/>
    <w:rPr>
      <w:rFonts w:ascii="宋体" w:hAnsi="宋体" w:eastAsia="宋体" w:cs="宋体"/>
      <w:b/>
      <w:bCs/>
      <w:kern w:val="36"/>
      <w:sz w:val="48"/>
      <w:szCs w:val="48"/>
    </w:rPr>
  </w:style>
  <w:style w:type="character" w:customStyle="1" w:styleId="12">
    <w:name w:val="j-info-hit"/>
    <w:basedOn w:val="9"/>
    <w:qFormat/>
    <w:uiPriority w:val="0"/>
  </w:style>
  <w:style w:type="character" w:customStyle="1" w:styleId="13">
    <w:name w:val="font"/>
    <w:basedOn w:val="9"/>
    <w:qFormat/>
    <w:uiPriority w:val="0"/>
  </w:style>
  <w:style w:type="character" w:customStyle="1" w:styleId="14">
    <w:name w:val="页眉 Char"/>
    <w:basedOn w:val="9"/>
    <w:link w:val="5"/>
    <w:semiHidden/>
    <w:qFormat/>
    <w:uiPriority w:val="99"/>
    <w:rPr>
      <w:rFonts w:asciiTheme="minorHAnsi" w:hAnsiTheme="minorHAnsi" w:eastAsiaTheme="minorEastAsia" w:cstheme="minorBidi"/>
      <w:kern w:val="2"/>
      <w:sz w:val="18"/>
      <w:szCs w:val="18"/>
    </w:rPr>
  </w:style>
  <w:style w:type="character" w:customStyle="1" w:styleId="15">
    <w:name w:val="页脚 Char"/>
    <w:basedOn w:val="9"/>
    <w:link w:val="4"/>
    <w:semiHidden/>
    <w:qFormat/>
    <w:uiPriority w:val="99"/>
    <w:rPr>
      <w:rFonts w:asciiTheme="minorHAnsi" w:hAnsiTheme="minorHAnsi" w:eastAsiaTheme="minorEastAsia" w:cstheme="minorBidi"/>
      <w:kern w:val="2"/>
      <w:sz w:val="18"/>
      <w:szCs w:val="18"/>
    </w:rPr>
  </w:style>
  <w:style w:type="character" w:customStyle="1" w:styleId="16">
    <w:name w:val="批注框文本 Char"/>
    <w:basedOn w:val="9"/>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549</Words>
  <Characters>3135</Characters>
  <Lines>26</Lines>
  <Paragraphs>7</Paragraphs>
  <TotalTime>48</TotalTime>
  <ScaleCrop>false</ScaleCrop>
  <LinksUpToDate>false</LinksUpToDate>
  <CharactersWithSpaces>3677</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2022-01-14T19:37:00Z</dcterms:created>
  <dc:creator>hello</dc:creator>
  <cp:lastModifiedBy>上饶市工业和信息化局收发员</cp:lastModifiedBy>
  <cp:lastPrinted>2022-01-15T18:21:00Z</cp:lastPrinted>
  <dcterms:modified xsi:type="dcterms:W3CDTF">2022-02-07T11:04:30Z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CE58954441134BBFB44A602DD19B340D</vt:lpwstr>
  </property>
</Properties>
</file>