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政府信息公开工作年度报告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市发改委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积极贯彻落实中央及省市有关做好信息公开工作的通知精神要</w:t>
      </w:r>
      <w:r>
        <w:rPr>
          <w:rFonts w:hint="eastAsia" w:ascii="仿宋_GB2312" w:hAnsi="仿宋_GB2312" w:eastAsia="仿宋_GB2312" w:cs="仿宋_GB2312"/>
          <w:sz w:val="32"/>
          <w:szCs w:val="32"/>
        </w:rPr>
        <w:t>求，认真做好年度政府信息公开工作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，具体包括以下几方面工作：一是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抓好重点领域信息公开，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加大政务信息公开的力度。201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年度，共在上饶市政府信息公开平台发布信息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2018年度单位决算和2019年度单位预算都进行了公开。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抓好制度机制建设，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不断加强政务信息公开组织领导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根据人员变动情况及时调整了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，指定一名微机操作水平较好的工作人员为政务信息员，具体负责单位的政务信息工作。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三是及时回应群众关切。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我委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回复市长热线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信息公开回复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，都经过委法律顾问审核，切实做到依法依规办理回复。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3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2400"/>
        <w:gridCol w:w="219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本年新制作数量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本年新公开数量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规章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规范性文件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上一年项目数量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本年增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/减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行政许可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其他对外管理服务事项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上一年项目数量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本年增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/减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行政处罚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行政强制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上一年项目数量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本年增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/减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行政事业性收费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采购项目数量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采购总金额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政府集中采购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114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471万元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3"/>
        <w:tblW w:w="10095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55"/>
        <w:gridCol w:w="3180"/>
        <w:gridCol w:w="600"/>
        <w:gridCol w:w="735"/>
        <w:gridCol w:w="810"/>
        <w:gridCol w:w="1035"/>
        <w:gridCol w:w="990"/>
        <w:gridCol w:w="615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7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355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740" w:type="dxa"/>
            <w:gridSpan w:val="3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自然人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法人或其他组织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740" w:type="dxa"/>
            <w:gridSpan w:val="3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商业企业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科研机构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社会公益组织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法律服务机构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74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74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三、本年度办理结果</w:t>
            </w:r>
          </w:p>
        </w:tc>
        <w:tc>
          <w:tcPr>
            <w:tcW w:w="403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（一）予以公开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（三）不予公开</w:t>
            </w: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其他法律行政法规禁止公开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属于三类内部事务信息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（四）无法提供</w:t>
            </w: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本机关不掌握相关政府信息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vertAlign w:val="baseline"/>
                <w:lang w:val="en-US" w:eastAsia="zh-CN"/>
              </w:rPr>
              <w:t>没有现在信息需要另行制作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（五）不予处理</w:t>
            </w: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（六）其他处理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3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（七）总计</w:t>
            </w:r>
          </w:p>
        </w:tc>
        <w:tc>
          <w:tcPr>
            <w:tcW w:w="60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1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1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结果维护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结果维护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结果维护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其他结果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尚未审结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虽然市发改委信息公开工作取得了一定的成绩，但与市委市政府的要求、与公众的需求还存在一定差距。一是对推行政府信息公开制度的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重视程度还不够高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。二是公开内容有时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还存在不够及时，有时会有遗漏</w:t>
      </w:r>
      <w:r>
        <w:rPr>
          <w:rFonts w:hint="eastAsia" w:ascii="仿宋_GB2312" w:hAnsi="仿宋_GB2312" w:eastAsia="仿宋_GB2312" w:cs="仿宋_GB2312"/>
          <w:sz w:val="32"/>
          <w:szCs w:val="32"/>
        </w:rPr>
        <w:t>。三是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信息公开平台设置和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管理工作有待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于改善和提高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针对存在的问题，市发改委将进一步加强对政府信息公开工作的认识，认真制定切实可行的措施，扎实做好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特别是从以下几方面入手</w:t>
      </w:r>
      <w:r>
        <w:rPr>
          <w:rFonts w:hint="eastAsia" w:ascii="仿宋_GB2312" w:hAnsi="仿宋_GB2312" w:eastAsia="仿宋_GB2312" w:cs="仿宋_GB2312"/>
          <w:sz w:val="32"/>
          <w:szCs w:val="32"/>
        </w:rPr>
        <w:t>：一是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提高政府信息公开工作的思想认识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。切实提高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政务信息公开工作的认识，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作为重要工作摆在突出位置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加强对政务信息公开工作的领导和监督，层层落实责任，定期督查通报，确保把政务信息公开工作落到实处。三是进一步健全和完善信息公开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完善信息公开格式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群众利益</w:t>
      </w:r>
      <w:r>
        <w:rPr>
          <w:rFonts w:hint="eastAsia" w:ascii="仿宋_GB2312" w:hAnsi="仿宋_GB2312" w:eastAsia="仿宋_GB2312" w:cs="仿宋_GB2312"/>
          <w:sz w:val="32"/>
          <w:szCs w:val="32"/>
        </w:rPr>
        <w:t>的重大问题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、重大政策等方面的内容除依法不应公开的以外，都要及时、全面、准确的公开信息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。四是进一步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加强信息公开工作的档案资料整理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，做到有据可查。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A6A88"/>
    <w:rsid w:val="00D23FD3"/>
    <w:rsid w:val="08327A23"/>
    <w:rsid w:val="1DB16209"/>
    <w:rsid w:val="223B0CF2"/>
    <w:rsid w:val="24414043"/>
    <w:rsid w:val="344253F6"/>
    <w:rsid w:val="3E8F1A78"/>
    <w:rsid w:val="40B11365"/>
    <w:rsid w:val="54454C6A"/>
    <w:rsid w:val="60EA6A88"/>
    <w:rsid w:val="62502519"/>
    <w:rsid w:val="6ACD5417"/>
    <w:rsid w:val="78F4431B"/>
    <w:rsid w:val="7CEA7071"/>
    <w:rsid w:val="7E191045"/>
    <w:rsid w:val="7F8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2020-01-14T02:37:00Z</dcterms:created>
  <dc:creator>Administrator</dc:creator>
  <cp:lastModifiedBy>Administrator</cp:lastModifiedBy>
  <cp:lastPrinted>2020-01-15T03:00:00Z</cp:lastPrinted>
  <dcterms:modified xsi:type="dcterms:W3CDTF">2021-05-11T02:03:51Z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C4B3621348DB4FB082A1080B7B22E0FA</vt:lpwstr>
  </property>
</Properties>
</file>