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bidi w:val="0"/>
        <w:spacing w:line="600" w:lineRule="exact"/>
        <w:jc w:val="center"/>
        <w:textAlignment w:val="auto"/>
        <w:outlineLvl w:val="9"/>
      </w:pPr>
      <w:bookmarkStart w:id="0" w:name="_GoBack"/>
      <w:bookmarkEnd w:id="0"/>
      <w:permStart w:id="0" w:edGrp="everyone"/>
      <w:permEnd w:id="0"/>
    </w:p>
    <w:p>
      <w:pPr>
        <w:pStyle w:val="4"/>
        <w:keepNext w:val="0"/>
        <w:keepLines w:val="0"/>
        <w:pageBreakBefore w:val="0"/>
        <w:widowControl w:val="0"/>
        <w:kinsoku/>
        <w:wordWrap/>
        <w:overflowPunct/>
        <w:topLinePunct w:val="0"/>
        <w:bidi w:val="0"/>
        <w:spacing w:line="600" w:lineRule="exact"/>
        <w:jc w:val="center"/>
        <w:textAlignment w:val="auto"/>
        <w:outlineLvl w:val="9"/>
      </w:pPr>
    </w:p>
    <w:p>
      <w:pPr>
        <w:pStyle w:val="4"/>
        <w:keepNext w:val="0"/>
        <w:keepLines w:val="0"/>
        <w:pageBreakBefore w:val="0"/>
        <w:widowControl w:val="0"/>
        <w:kinsoku/>
        <w:wordWrap/>
        <w:overflowPunct/>
        <w:topLinePunct w:val="0"/>
        <w:bidi w:val="0"/>
        <w:spacing w:line="600" w:lineRule="exact"/>
        <w:jc w:val="center"/>
        <w:textAlignment w:val="auto"/>
        <w:outlineLvl w:val="9"/>
      </w:pPr>
    </w:p>
    <w:p>
      <w:pPr>
        <w:pStyle w:val="4"/>
        <w:keepNext w:val="0"/>
        <w:keepLines w:val="0"/>
        <w:pageBreakBefore w:val="0"/>
        <w:widowControl w:val="0"/>
        <w:kinsoku/>
        <w:wordWrap/>
        <w:overflowPunct/>
        <w:topLinePunct w:val="0"/>
        <w:bidi w:val="0"/>
        <w:spacing w:line="600" w:lineRule="exact"/>
        <w:jc w:val="center"/>
        <w:textAlignment w:val="auto"/>
        <w:outlineLvl w:val="9"/>
      </w:pPr>
    </w:p>
    <w:p>
      <w:pPr>
        <w:pStyle w:val="4"/>
        <w:keepNext w:val="0"/>
        <w:keepLines w:val="0"/>
        <w:pageBreakBefore w:val="0"/>
        <w:widowControl w:val="0"/>
        <w:kinsoku/>
        <w:wordWrap/>
        <w:overflowPunct/>
        <w:topLinePunct w:val="0"/>
        <w:bidi w:val="0"/>
        <w:spacing w:line="600" w:lineRule="exact"/>
        <w:jc w:val="center"/>
        <w:textAlignment w:val="auto"/>
        <w:outlineLvl w:val="9"/>
      </w:pPr>
    </w:p>
    <w:p>
      <w:pPr>
        <w:pStyle w:val="4"/>
        <w:keepNext w:val="0"/>
        <w:keepLines w:val="0"/>
        <w:pageBreakBefore w:val="0"/>
        <w:widowControl w:val="0"/>
        <w:kinsoku/>
        <w:wordWrap/>
        <w:overflowPunct/>
        <w:topLinePunct w:val="0"/>
        <w:bidi w:val="0"/>
        <w:spacing w:line="600" w:lineRule="exact"/>
        <w:textAlignment w:val="auto"/>
        <w:outlineLvl w:val="9"/>
      </w:pPr>
    </w:p>
    <w:p>
      <w:pPr>
        <w:pStyle w:val="4"/>
        <w:keepNext w:val="0"/>
        <w:keepLines w:val="0"/>
        <w:pageBreakBefore w:val="0"/>
        <w:widowControl w:val="0"/>
        <w:kinsoku/>
        <w:wordWrap/>
        <w:overflowPunct/>
        <w:topLinePunct w:val="0"/>
        <w:bidi w:val="0"/>
        <w:spacing w:line="600" w:lineRule="exact"/>
        <w:jc w:val="center"/>
        <w:textAlignment w:val="auto"/>
        <w:outlineLvl w:val="9"/>
        <w:rPr>
          <w:rFonts w:ascii="仿宋_GB2312" w:eastAsia="仿宋_GB2312"/>
          <w:sz w:val="32"/>
        </w:rPr>
      </w:pPr>
      <w:r>
        <w:rPr>
          <w:rFonts w:hint="eastAsia" w:ascii="仿宋_GB2312" w:eastAsia="仿宋_GB2312"/>
          <w:sz w:val="32"/>
        </w:rPr>
        <w:t>饶环评字〔2021〕</w:t>
      </w:r>
      <w:r>
        <w:rPr>
          <w:rFonts w:hint="eastAsia" w:ascii="仿宋_GB2312" w:eastAsia="仿宋_GB2312"/>
          <w:sz w:val="32"/>
          <w:lang w:val="en-US" w:eastAsia="zh-CN"/>
        </w:rPr>
        <w:t>64</w:t>
      </w:r>
      <w:r>
        <w:rPr>
          <w:rFonts w:hint="eastAsia" w:ascii="仿宋_GB2312" w:eastAsia="仿宋_GB2312"/>
          <w:sz w:val="32"/>
        </w:rPr>
        <w:t>号</w:t>
      </w:r>
    </w:p>
    <w:p>
      <w:pPr>
        <w:pStyle w:val="4"/>
        <w:keepNext w:val="0"/>
        <w:keepLines w:val="0"/>
        <w:pageBreakBefore w:val="0"/>
        <w:widowControl w:val="0"/>
        <w:kinsoku/>
        <w:wordWrap/>
        <w:overflowPunct/>
        <w:topLinePunct w:val="0"/>
        <w:bidi w:val="0"/>
        <w:spacing w:line="600" w:lineRule="exact"/>
        <w:jc w:val="center"/>
        <w:textAlignment w:val="auto"/>
        <w:outlineLvl w:val="9"/>
      </w:pPr>
    </w:p>
    <w:p>
      <w:pPr>
        <w:pStyle w:val="4"/>
        <w:keepNext w:val="0"/>
        <w:keepLines w:val="0"/>
        <w:pageBreakBefore w:val="0"/>
        <w:widowControl w:val="0"/>
        <w:kinsoku/>
        <w:wordWrap/>
        <w:overflowPunct/>
        <w:topLinePunct w:val="0"/>
        <w:bidi w:val="0"/>
        <w:spacing w:line="600" w:lineRule="exact"/>
        <w:jc w:val="center"/>
        <w:textAlignment w:val="auto"/>
        <w:outlineLvl w:val="9"/>
      </w:pPr>
    </w:p>
    <w:p>
      <w:pPr>
        <w:pStyle w:val="4"/>
        <w:keepNext w:val="0"/>
        <w:keepLines w:val="0"/>
        <w:pageBreakBefore w:val="0"/>
        <w:widowControl w:val="0"/>
        <w:tabs>
          <w:tab w:val="left" w:pos="7380"/>
        </w:tabs>
        <w:kinsoku/>
        <w:wordWrap/>
        <w:overflowPunct/>
        <w:topLinePunct w:val="0"/>
        <w:bidi w:val="0"/>
        <w:spacing w:line="600" w:lineRule="exact"/>
        <w:jc w:val="center"/>
        <w:textAlignment w:val="auto"/>
        <w:outlineLvl w:val="9"/>
        <w:rPr>
          <w:rFonts w:ascii="方正小标宋简体" w:eastAsia="方正小标宋简体"/>
          <w:bCs/>
        </w:rPr>
      </w:pPr>
      <w:r>
        <w:rPr>
          <w:rFonts w:hint="eastAsia" w:ascii="方正小标宋简体" w:eastAsia="方正小标宋简体"/>
          <w:bCs/>
          <w:szCs w:val="22"/>
        </w:rPr>
        <w:t>关于江西米赞科技有限公司手机整机及配套电子元器件生产项目环</w:t>
      </w:r>
      <w:r>
        <w:rPr>
          <w:rFonts w:hint="eastAsia" w:ascii="方正小标宋简体" w:eastAsia="方正小标宋简体"/>
          <w:bCs/>
        </w:rPr>
        <w:t>境影响</w:t>
      </w:r>
    </w:p>
    <w:p>
      <w:pPr>
        <w:pStyle w:val="4"/>
        <w:keepNext w:val="0"/>
        <w:keepLines w:val="0"/>
        <w:pageBreakBefore w:val="0"/>
        <w:widowControl w:val="0"/>
        <w:tabs>
          <w:tab w:val="left" w:pos="7380"/>
        </w:tabs>
        <w:kinsoku/>
        <w:wordWrap/>
        <w:overflowPunct/>
        <w:topLinePunct w:val="0"/>
        <w:bidi w:val="0"/>
        <w:spacing w:line="600" w:lineRule="exact"/>
        <w:jc w:val="center"/>
        <w:textAlignment w:val="auto"/>
        <w:outlineLvl w:val="9"/>
        <w:rPr>
          <w:rFonts w:ascii="方正小标宋简体" w:eastAsia="方正小标宋简体"/>
          <w:bCs/>
        </w:rPr>
      </w:pPr>
      <w:r>
        <w:rPr>
          <w:rFonts w:hint="eastAsia" w:ascii="方正小标宋简体" w:eastAsia="方正小标宋简体"/>
          <w:bCs/>
        </w:rPr>
        <w:t>报告表的批复</w:t>
      </w:r>
    </w:p>
    <w:p>
      <w:pPr>
        <w:keepNext w:val="0"/>
        <w:keepLines w:val="0"/>
        <w:pageBreakBefore w:val="0"/>
        <w:widowControl w:val="0"/>
        <w:kinsoku/>
        <w:wordWrap/>
        <w:overflowPunct/>
        <w:topLinePunct w:val="0"/>
        <w:bidi w:val="0"/>
        <w:spacing w:line="600" w:lineRule="exact"/>
        <w:textAlignment w:val="auto"/>
        <w:outlineLvl w:val="9"/>
        <w:rPr>
          <w:rFonts w:ascii="宋体" w:hAnsi="宋体"/>
          <w:sz w:val="32"/>
        </w:rPr>
      </w:pPr>
    </w:p>
    <w:p>
      <w:pPr>
        <w:keepNext w:val="0"/>
        <w:keepLines w:val="0"/>
        <w:pageBreakBefore w:val="0"/>
        <w:widowControl w:val="0"/>
        <w:kinsoku/>
        <w:wordWrap/>
        <w:overflowPunct/>
        <w:topLinePunct w:val="0"/>
        <w:bidi w:val="0"/>
        <w:spacing w:line="600" w:lineRule="exact"/>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江西米赞科技有限公司</w:t>
      </w:r>
      <w:r>
        <w:rPr>
          <w:rFonts w:hint="eastAsia" w:ascii="仿宋_GB2312" w:hAnsi="仿宋_GB2312" w:eastAsia="仿宋_GB2312" w:cs="仿宋_GB2312"/>
          <w:sz w:val="32"/>
          <w:szCs w:val="32"/>
          <w:lang w:val="zh-CN"/>
        </w:rPr>
        <w:t>：</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你公司呈报的《江西米赞科技有限公司手机整机及配套电子元器件生产项目环境影响报告表》（以下简称《报告表》）收悉。经研究，现批复如下：</w:t>
      </w:r>
    </w:p>
    <w:p>
      <w:pPr>
        <w:keepNext w:val="0"/>
        <w:keepLines w:val="0"/>
        <w:pageBreakBefore w:val="0"/>
        <w:widowControl w:val="0"/>
        <w:numPr>
          <w:ilvl w:val="0"/>
          <w:numId w:val="1"/>
        </w:numPr>
        <w:kinsoku/>
        <w:wordWrap/>
        <w:overflowPunct/>
        <w:topLinePunct w:val="0"/>
        <w:bidi w:val="0"/>
        <w:spacing w:line="6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bCs/>
          <w:sz w:val="32"/>
          <w:szCs w:val="32"/>
        </w:rPr>
        <w:t>项目基本情况及项目批复意见</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（一）项目基本情况。</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江西米赞科技有限公司手机整机及配套电子元器件生产项目位于上饶茶亭产业园建兴路以南（中心地理位置：东经117°23′22.36″,北纬28°21′44.85″），项目占地面积66667.14m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项目主要以纸箱、粘膜纸、印刷电路板、偏光片、未贴片显示镜、未贴片显示板、液晶显示镜、压敏电阻、吸塑盘、电容、热压纸、热熔胶三极管、集成电路、二极管、PET保护膜等为原辅材料通过上料、清洁、对位、贴合、本压、固化、测试、检测、组装等工序生产液晶显示模组及贴合模组；以手机主板、电池、模块、后盖、其他手机零部件通过人工组装生产手机整机。</w:t>
      </w:r>
      <w:r>
        <w:rPr>
          <w:rFonts w:hint="eastAsia" w:ascii="仿宋_GB2312" w:hAnsi="仿宋_GB2312" w:eastAsia="仿宋_GB2312" w:cs="仿宋_GB2312"/>
          <w:sz w:val="32"/>
          <w:szCs w:val="32"/>
          <w:lang w:val="zh-CN"/>
        </w:rPr>
        <w:t>项目产品方案为：年产液晶显示模组及贴合模组</w:t>
      </w:r>
      <w:r>
        <w:rPr>
          <w:rFonts w:hint="eastAsia" w:ascii="仿宋_GB2312" w:hAnsi="仿宋_GB2312" w:eastAsia="仿宋_GB2312" w:cs="仿宋_GB2312"/>
          <w:sz w:val="32"/>
          <w:szCs w:val="32"/>
        </w:rPr>
        <w:t>2000万片</w:t>
      </w:r>
      <w:r>
        <w:rPr>
          <w:rFonts w:hint="eastAsia" w:ascii="仿宋_GB2312" w:hAnsi="仿宋_GB2312" w:eastAsia="仿宋_GB2312" w:cs="仿宋_GB2312"/>
          <w:sz w:val="32"/>
          <w:szCs w:val="32"/>
          <w:lang w:val="zh-CN"/>
        </w:rPr>
        <w:t>、手机整机</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zh-CN"/>
        </w:rPr>
        <w:t>000万台。项目总投资为</w:t>
      </w:r>
      <w:r>
        <w:rPr>
          <w:rFonts w:hint="eastAsia" w:ascii="仿宋_GB2312" w:hAnsi="仿宋_GB2312" w:eastAsia="仿宋_GB2312" w:cs="仿宋_GB2312"/>
          <w:sz w:val="32"/>
          <w:szCs w:val="32"/>
        </w:rPr>
        <w:t>220000</w:t>
      </w:r>
      <w:r>
        <w:rPr>
          <w:rFonts w:hint="eastAsia" w:ascii="仿宋_GB2312" w:hAnsi="仿宋_GB2312" w:eastAsia="仿宋_GB2312" w:cs="仿宋_GB2312"/>
          <w:sz w:val="32"/>
          <w:szCs w:val="32"/>
          <w:lang w:val="zh-CN"/>
        </w:rPr>
        <w:t>万元，其中环保投资</w:t>
      </w:r>
      <w:r>
        <w:rPr>
          <w:rFonts w:hint="eastAsia" w:ascii="仿宋_GB2312" w:hAnsi="仿宋_GB2312" w:eastAsia="仿宋_GB2312" w:cs="仿宋_GB2312"/>
          <w:sz w:val="32"/>
          <w:szCs w:val="32"/>
        </w:rPr>
        <w:t>300</w:t>
      </w:r>
      <w:r>
        <w:rPr>
          <w:rFonts w:hint="eastAsia" w:ascii="仿宋_GB2312" w:hAnsi="仿宋_GB2312" w:eastAsia="仿宋_GB2312" w:cs="仿宋_GB2312"/>
          <w:sz w:val="32"/>
          <w:szCs w:val="32"/>
          <w:lang w:val="zh-CN"/>
        </w:rPr>
        <w:t>万元。</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批复意见。根据《报告表》的结论，你公司应全面落实环境影响报告表提出的各项污染防治措施、环境风险防范措施，缓解和控制不利环境影响。我局原则同意你公司“手机整机及配套电子元器件生产项目”的建设。</w:t>
      </w:r>
    </w:p>
    <w:p>
      <w:pPr>
        <w:keepNext w:val="0"/>
        <w:keepLines w:val="0"/>
        <w:pageBreakBefore w:val="0"/>
        <w:widowControl w:val="0"/>
        <w:numPr>
          <w:ilvl w:val="0"/>
          <w:numId w:val="1"/>
        </w:numPr>
        <w:kinsoku/>
        <w:wordWrap/>
        <w:overflowPunct/>
        <w:topLinePunct w:val="0"/>
        <w:bidi w:val="0"/>
        <w:spacing w:line="600" w:lineRule="exact"/>
        <w:ind w:firstLine="640" w:firstLineChars="200"/>
        <w:textAlignment w:val="auto"/>
        <w:outlineLvl w:val="9"/>
        <w:rPr>
          <w:rFonts w:hint="eastAsia" w:ascii="黑体" w:hAnsi="黑体" w:eastAsia="黑体" w:cs="黑体"/>
          <w:bCs/>
          <w:sz w:val="32"/>
          <w:szCs w:val="32"/>
        </w:rPr>
      </w:pPr>
      <w:r>
        <w:rPr>
          <w:rFonts w:hint="eastAsia" w:ascii="黑体" w:hAnsi="黑体" w:eastAsia="黑体" w:cs="黑体"/>
          <w:bCs/>
          <w:sz w:val="32"/>
          <w:szCs w:val="32"/>
        </w:rPr>
        <w:t>项目要着重做好以下环境保护工作</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项目在工程设计、建设和生产过程中必须认真落实环境影响报告表提出的各项环保措施和要求，重点做好以下工作：</w:t>
      </w:r>
    </w:p>
    <w:p>
      <w:pPr>
        <w:keepNext w:val="0"/>
        <w:keepLines w:val="0"/>
        <w:pageBreakBefore w:val="0"/>
        <w:widowControl w:val="0"/>
        <w:numPr>
          <w:ilvl w:val="0"/>
          <w:numId w:val="2"/>
        </w:numPr>
        <w:kinsoku/>
        <w:wordWrap/>
        <w:overflowPunct/>
        <w:topLinePunct w:val="0"/>
        <w:bidi w:val="0"/>
        <w:spacing w:line="60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落实大气污染防治措施。应采取清洁生产措施，减少废气产生量。根据废气中污染物的类别和性质，采用成熟可靠工艺处理，确保废气污染物长期稳定达标排放。项目焊接烟尘采用移动式焊接烟尘净化器处理；食堂油烟采用油烟净化装置处理，后引至楼顶高空排放</w:t>
      </w:r>
      <w:r>
        <w:rPr>
          <w:rFonts w:hint="eastAsia" w:ascii="仿宋_GB2312" w:hAnsi="仿宋_GB2312" w:eastAsia="仿宋_GB2312" w:cs="仿宋_GB2312"/>
          <w:color w:val="000000"/>
          <w:sz w:val="32"/>
          <w:szCs w:val="32"/>
        </w:rPr>
        <w:t>。焊接烟尘排放执行《大气污染物综合排放标准》（GB16297-1996）表2无组织排监控浓度限值</w:t>
      </w:r>
      <w:r>
        <w:rPr>
          <w:rFonts w:hint="eastAsia" w:ascii="仿宋_GB2312" w:hAnsi="仿宋_GB2312" w:eastAsia="仿宋_GB2312" w:cs="仿宋_GB2312"/>
          <w:sz w:val="32"/>
          <w:szCs w:val="32"/>
        </w:rPr>
        <w:t>，点胶废气VOCs排放《挥发性有机物无组织排放控制标准》（GB37822-2019）中标准限值，食堂油烟排放执行《饮食业油烟排放标准》（试行）（GB18483-2001）。</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严格落实水污染防治措施。按照“清污分流、雨污分流、分质处理、一水多用”原则，合理制定废水收集、处理方案。项目生活污水经化粪池预处理后排入市政污水管网，接入上饶市茶亭工业园区污水处理厂进一步处理。生活污水排放执行污水处理厂纳管标准和《污水综合排放标准》（8978-1996）表4三级标准。</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落实固体废物污染防治措施。严格履行危险废物转移相关手续，产生的不能综合利用危险废物定期委托有资质的单位处理处置。产生的一般工业固体废物应合理处置，不得对周围环境造成污染。项目产生的不合格产品、废过滤材料交由供应厂商回收处置；生活垃圾收集后交由环卫部门统一清运处理；热熔胶等废包装材料属危险废物，委托具有处理资质单位处置。一般固体废物处置与贮存执行《一般工业固体废弃物贮存、处置场污染控制标准》（GB18597-2001）及其修改单；危险废物贮存执行《危险废物贮存污染控制标准》（GB18597-2001）及其修改单。</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严格落实噪声污染防治措施。项目噪声主要来源于上料机、贴片机、点胶机、除泡机、风机等设备运转。应优化项目厂平面布置，选用低噪声设备，高噪声设备做好安装减震装置、消声器，设立隔声罩等综合治理措施。厂界噪声排放执行《工业企业厂界环境噪声排放标准》（GB12348-2008）3类标准。</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（五）严格落实环境风险防范措施。严格落实各项环境风险防控措施，认真制定环境风险应急预案，配备环境应急设施和装备。一旦发生环境风险事故，必须立即启动应急预案，控制并削减对外环境的污染影响。</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（六）排污口规范化要求。按规定设置规范的污染物排放口，设立相应的标志牌。废水、废气排放设施要按照监测技术规范的要求设置永久性的监测采样口。</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（七）公众参与要求。在工程施工和运营过程中，应建立畅通的公众参与平台，及时解决公众担忧的环境问题，满足公众合理的环境保护要求。按要求定期发布企业环境信息，并主动接受社会监督。</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建立健全环境管理。加强环保设施运行维护和管理，制定严格的环境保护岗位责任制，确保污染治理设施稳定正常运行，建立污染治理设施运行台账，严禁擅自闲置、停用环保治理设施，杜绝事故性污染排放，确保各项污染物达标排放并符合总量控制指标要求。</w:t>
      </w:r>
    </w:p>
    <w:p>
      <w:pPr>
        <w:keepNext w:val="0"/>
        <w:keepLines w:val="0"/>
        <w:pageBreakBefore w:val="0"/>
        <w:widowControl w:val="0"/>
        <w:kinsoku/>
        <w:wordWrap/>
        <w:overflowPunct/>
        <w:topLinePunct w:val="0"/>
        <w:bidi w:val="0"/>
        <w:adjustRightInd w:val="0"/>
        <w:snapToGrid w:val="0"/>
        <w:spacing w:line="600" w:lineRule="exact"/>
        <w:ind w:firstLine="680"/>
        <w:textAlignment w:val="auto"/>
        <w:outlineLvl w:val="9"/>
        <w:rPr>
          <w:rFonts w:hint="eastAsia" w:ascii="黑体" w:hAnsi="黑体" w:eastAsia="黑体" w:cs="黑体"/>
          <w:sz w:val="32"/>
          <w:szCs w:val="32"/>
        </w:rPr>
      </w:pPr>
      <w:r>
        <w:rPr>
          <w:rFonts w:hint="eastAsia" w:ascii="黑体" w:hAnsi="黑体" w:eastAsia="黑体" w:cs="黑体"/>
          <w:sz w:val="32"/>
          <w:szCs w:val="32"/>
        </w:rPr>
        <w:t>三、项目运行和竣工验收的环保要求</w:t>
      </w:r>
    </w:p>
    <w:p>
      <w:pPr>
        <w:keepNext w:val="0"/>
        <w:keepLines w:val="0"/>
        <w:pageBreakBefore w:val="0"/>
        <w:widowControl w:val="0"/>
        <w:kinsoku/>
        <w:wordWrap/>
        <w:overflowPunct/>
        <w:topLinePunct w:val="0"/>
        <w:bidi w:val="0"/>
        <w:adjustRightInd w:val="0"/>
        <w:snapToGrid w:val="0"/>
        <w:spacing w:line="600" w:lineRule="exact"/>
        <w:ind w:firstLine="68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建设必须严格执行环境保护设施与主体工程同时设计、同时施工、同时投入使用的环境保护“三同时”制度，落实各项环境保护措施。项目建成投入生产后，你公司应当按照相关规定要求，对配套建设的环境保护设施进行验收，编制验收报告，并依法向社会公开。你公司在环境保护设施验收过程中，应当如实查验、监测、记载建设项目环境保护设施的建设和调试情况，不得弄虚作假。项目经验收合格后方可正式投入运行。</w:t>
      </w:r>
    </w:p>
    <w:p>
      <w:pPr>
        <w:keepNext w:val="0"/>
        <w:keepLines w:val="0"/>
        <w:pageBreakBefore w:val="0"/>
        <w:widowControl w:val="0"/>
        <w:kinsoku/>
        <w:wordWrap/>
        <w:overflowPunct/>
        <w:topLinePunct w:val="0"/>
        <w:bidi w:val="0"/>
        <w:adjustRightInd w:val="0"/>
        <w:snapToGrid w:val="0"/>
        <w:spacing w:line="600" w:lineRule="exact"/>
        <w:ind w:firstLine="680"/>
        <w:textAlignment w:val="auto"/>
        <w:outlineLvl w:val="9"/>
        <w:rPr>
          <w:rFonts w:hint="eastAsia" w:ascii="黑体" w:hAnsi="黑体" w:eastAsia="黑体" w:cs="黑体"/>
          <w:sz w:val="32"/>
          <w:szCs w:val="32"/>
        </w:rPr>
      </w:pPr>
      <w:r>
        <w:rPr>
          <w:rFonts w:hint="eastAsia" w:ascii="黑体" w:hAnsi="黑体" w:eastAsia="黑体" w:cs="黑体"/>
          <w:sz w:val="32"/>
          <w:szCs w:val="32"/>
        </w:rPr>
        <w:t>四、其他环保要求</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color w:val="000000"/>
          <w:sz w:val="32"/>
          <w:szCs w:val="32"/>
        </w:rPr>
        <w:t>重新办理环境影响评价要求。本项目批准后，建设性质、规模、地点、生产工艺、环保措施等发生重大变动，应重新报批环境影响报告表；项目批准后超过五年方开工建设的，应报审批部门重新审核。</w:t>
      </w:r>
    </w:p>
    <w:p>
      <w:pPr>
        <w:keepNext w:val="0"/>
        <w:keepLines w:val="0"/>
        <w:pageBreakBefore w:val="0"/>
        <w:widowControl w:val="0"/>
        <w:kinsoku/>
        <w:wordWrap/>
        <w:overflowPunct/>
        <w:topLinePunct w:val="0"/>
        <w:bidi w:val="0"/>
        <w:spacing w:line="600" w:lineRule="exact"/>
        <w:ind w:firstLine="6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日常监督管理要求。请上饶市广信区生态环境局加强本项目的日常监督管理。你公司应在收到本批复后20个工作日内，将批准后的环境影响报告表及其批复送上饶市广信区生态环境局，并按规定接受各级生态环境主管部门的监督检查。</w:t>
      </w:r>
    </w:p>
    <w:p>
      <w:pPr>
        <w:keepNext w:val="0"/>
        <w:keepLines w:val="0"/>
        <w:pageBreakBefore w:val="0"/>
        <w:widowControl w:val="0"/>
        <w:kinsoku/>
        <w:wordWrap/>
        <w:overflowPunct/>
        <w:topLinePunct w:val="0"/>
        <w:bidi w:val="0"/>
        <w:spacing w:line="600" w:lineRule="exact"/>
        <w:textAlignment w:val="auto"/>
        <w:outlineLvl w:val="9"/>
        <w:rPr>
          <w:rFonts w:hint="eastAsia" w:ascii="仿宋_GB2312" w:hAnsi="仿宋_GB2312" w:eastAsia="仿宋_GB2312" w:cs="仿宋_GB2312"/>
          <w:sz w:val="32"/>
        </w:rPr>
      </w:pPr>
    </w:p>
    <w:p>
      <w:pPr>
        <w:pStyle w:val="2"/>
        <w:keepNext w:val="0"/>
        <w:keepLines w:val="0"/>
        <w:pageBreakBefore w:val="0"/>
        <w:widowControl w:val="0"/>
        <w:kinsoku/>
        <w:wordWrap/>
        <w:overflowPunct/>
        <w:topLinePunct w:val="0"/>
        <w:bidi w:val="0"/>
        <w:spacing w:line="600" w:lineRule="exact"/>
        <w:textAlignment w:val="auto"/>
        <w:outlineLvl w:val="9"/>
        <w:rPr>
          <w:rFonts w:hint="eastAsia" w:ascii="仿宋_GB2312" w:hAnsi="仿宋_GB2312" w:eastAsia="仿宋_GB2312" w:cs="仿宋_GB2312"/>
        </w:rPr>
      </w:pPr>
    </w:p>
    <w:p>
      <w:pPr>
        <w:pStyle w:val="2"/>
        <w:keepNext w:val="0"/>
        <w:keepLines w:val="0"/>
        <w:pageBreakBefore w:val="0"/>
        <w:widowControl w:val="0"/>
        <w:kinsoku/>
        <w:wordWrap/>
        <w:overflowPunct/>
        <w:topLinePunct w:val="0"/>
        <w:bidi w:val="0"/>
        <w:spacing w:line="600" w:lineRule="exact"/>
        <w:textAlignment w:val="auto"/>
        <w:outlineLvl w:val="9"/>
        <w:rPr>
          <w:rFonts w:hint="eastAsia" w:ascii="仿宋_GB2312" w:hAnsi="仿宋_GB2312" w:eastAsia="仿宋_GB2312" w:cs="仿宋_GB2312"/>
        </w:rPr>
      </w:pPr>
    </w:p>
    <w:p>
      <w:pPr>
        <w:keepNext w:val="0"/>
        <w:keepLines w:val="0"/>
        <w:pageBreakBefore w:val="0"/>
        <w:widowControl w:val="0"/>
        <w:kinsoku/>
        <w:wordWrap/>
        <w:overflowPunct/>
        <w:topLinePunct w:val="0"/>
        <w:bidi w:val="0"/>
        <w:spacing w:line="600" w:lineRule="exact"/>
        <w:ind w:firstLine="5440" w:firstLineChars="1700"/>
        <w:textAlignment w:val="auto"/>
        <w:outlineLvl w:val="9"/>
        <w:rPr>
          <w:rFonts w:hint="eastAsia" w:ascii="仿宋_GB2312" w:hAnsi="仿宋_GB2312" w:eastAsia="仿宋_GB2312" w:cs="仿宋_GB2312"/>
          <w:sz w:val="32"/>
          <w:szCs w:val="22"/>
        </w:rPr>
      </w:pPr>
      <w:r>
        <w:rPr>
          <w:rFonts w:hint="eastAsia" w:ascii="仿宋_GB2312" w:hAnsi="仿宋_GB2312" w:eastAsia="仿宋_GB2312" w:cs="仿宋_GB2312"/>
          <w:sz w:val="32"/>
        </w:rPr>
        <w:t>2021年</w:t>
      </w:r>
      <w:r>
        <w:rPr>
          <w:rFonts w:hint="eastAsia" w:ascii="仿宋_GB2312" w:hAnsi="仿宋_GB2312" w:eastAsia="仿宋_GB2312" w:cs="仿宋_GB2312"/>
          <w:sz w:val="32"/>
          <w:lang w:val="en-US" w:eastAsia="zh-CN"/>
        </w:rPr>
        <w:t>7</w:t>
      </w:r>
      <w:r>
        <w:rPr>
          <w:rFonts w:hint="eastAsia" w:ascii="仿宋_GB2312" w:hAnsi="仿宋_GB2312" w:eastAsia="仿宋_GB2312" w:cs="仿宋_GB2312"/>
          <w:sz w:val="32"/>
        </w:rPr>
        <w:t>月</w:t>
      </w:r>
      <w:r>
        <w:rPr>
          <w:rFonts w:hint="eastAsia" w:ascii="仿宋_GB2312" w:hAnsi="仿宋_GB2312" w:eastAsia="仿宋_GB2312" w:cs="仿宋_GB2312"/>
          <w:sz w:val="32"/>
          <w:lang w:val="en-US" w:eastAsia="zh-CN"/>
        </w:rPr>
        <w:t>13</w:t>
      </w:r>
      <w:r>
        <w:rPr>
          <w:rFonts w:hint="eastAsia" w:ascii="仿宋_GB2312" w:hAnsi="仿宋_GB2312" w:eastAsia="仿宋_GB2312" w:cs="仿宋_GB2312"/>
          <w:sz w:val="32"/>
        </w:rPr>
        <w:t>日</w:t>
      </w:r>
    </w:p>
    <w:p>
      <w:pPr>
        <w:keepNext w:val="0"/>
        <w:keepLines w:val="0"/>
        <w:pageBreakBefore w:val="0"/>
        <w:widowControl w:val="0"/>
        <w:kinsoku/>
        <w:wordWrap/>
        <w:overflowPunct/>
        <w:topLinePunct w:val="0"/>
        <w:bidi w:val="0"/>
        <w:spacing w:line="600" w:lineRule="exact"/>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（此件主动公开）</w:t>
      </w:r>
    </w:p>
    <w:p>
      <w:pPr>
        <w:keepNext w:val="0"/>
        <w:keepLines w:val="0"/>
        <w:pageBreakBefore w:val="0"/>
        <w:widowControl w:val="0"/>
        <w:kinsoku/>
        <w:wordWrap/>
        <w:overflowPunct/>
        <w:topLinePunct w:val="0"/>
        <w:bidi w:val="0"/>
        <w:spacing w:line="600" w:lineRule="exact"/>
        <w:textAlignment w:val="auto"/>
        <w:outlineLvl w:val="9"/>
      </w:pPr>
    </w:p>
    <w:p>
      <w:pPr>
        <w:keepNext w:val="0"/>
        <w:keepLines w:val="0"/>
        <w:pageBreakBefore w:val="0"/>
        <w:widowControl w:val="0"/>
        <w:kinsoku/>
        <w:wordWrap/>
        <w:overflowPunct/>
        <w:topLinePunct w:val="0"/>
        <w:bidi w:val="0"/>
        <w:spacing w:line="600" w:lineRule="exact"/>
        <w:ind w:left="841" w:leftChars="67" w:hanging="700" w:hangingChars="250"/>
        <w:textAlignment w:val="auto"/>
        <w:outlineLvl w:val="9"/>
        <w:rPr>
          <w:rFonts w:ascii="仿宋_GB2312" w:hAnsi="宋体" w:eastAsia="仿宋_GB2312"/>
          <w:sz w:val="28"/>
          <w:szCs w:val="28"/>
        </w:rPr>
      </w:pPr>
      <w:r>
        <w:rPr>
          <w:rFonts w:ascii="仿宋_GB2312" w:hAnsi="宋体" w:eastAsia="仿宋_GB2312"/>
          <w:sz w:val="28"/>
          <w:szCs w:val="28"/>
        </w:rPr>
        <w:pict>
          <v:line id="Line 2" o:spid="_x0000_s1026" o:spt="20" style="position:absolute;left:0pt;margin-left:0pt;margin-top:0pt;height:0pt;width:414pt;z-index:251659264;mso-width-relative:page;mso-height-relative:page;" coordsize="21600,21600" o:gfxdata="UEsDBAoAAAAAAIdO4kAAAAAAAAAAAAAAAAAEAAAAZHJzL1BLAwQUAAAACACHTuJACWFX/d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CWFX/dAAAAACAQAADwAAAAAAAAABACAAAAAi&#10;AAAAZHJzL2Rvd25yZXYueG1sUEsBAhQAFAAAAAgAh07iQBcwzPPZAQAA2QMAAA4AAAAAAAAAAQAg&#10;AAAAHwEAAGRycy9lMm9Eb2MueG1sUEsFBgAAAAAGAAYAWQEAAGoFAAAAAA==&#10;">
            <v:path arrowok="t"/>
            <v:fill focussize="0,0"/>
            <v:stroke/>
            <v:imagedata o:title=""/>
            <o:lock v:ext="edit"/>
          </v:line>
        </w:pict>
      </w:r>
      <w:r>
        <w:rPr>
          <w:rFonts w:hint="eastAsia" w:ascii="仿宋_GB2312" w:hAnsi="宋体" w:eastAsia="仿宋_GB2312"/>
          <w:sz w:val="28"/>
          <w:szCs w:val="28"/>
        </w:rPr>
        <w:t>抄送：上饶市广信区生态环境局，上饶市生态环境保护综合执法支队，上饶市天穹环保科技有限公司。</w:t>
      </w:r>
    </w:p>
    <w:p>
      <w:pPr>
        <w:keepNext w:val="0"/>
        <w:keepLines w:val="0"/>
        <w:pageBreakBefore w:val="0"/>
        <w:widowControl w:val="0"/>
        <w:kinsoku/>
        <w:wordWrap/>
        <w:overflowPunct/>
        <w:topLinePunct w:val="0"/>
        <w:bidi w:val="0"/>
        <w:spacing w:line="600" w:lineRule="exact"/>
        <w:ind w:firstLine="140" w:firstLineChars="50"/>
        <w:textAlignment w:val="auto"/>
        <w:outlineLvl w:val="9"/>
      </w:pPr>
      <w:r>
        <w:rPr>
          <w:rFonts w:ascii="仿宋_GB2312" w:hAnsi="宋体" w:eastAsia="仿宋_GB2312"/>
          <w:sz w:val="28"/>
          <w:szCs w:val="28"/>
        </w:rPr>
        <w:pict>
          <v:line id="Line 4" o:spid="_x0000_s1028" o:spt="20" style="position:absolute;left:0pt;margin-left:0pt;margin-top:31.2pt;height:0pt;width:414pt;z-index:251661312;mso-width-relative:page;mso-height-relative:page;" coordsize="21600,21600" o:gfxdata="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5sf3HTAAAABgEAAA8AAAAAAAAAAQAg&#10;AAAAIgAAAGRycy9kb3ducmV2LnhtbFBLAQIUABQAAAAIAIdO4kA25jA82gEAANkDAAAOAAAAAAAA&#10;AAEAIAAAACIBAABkcnMvZTJvRG9jLnhtbFBLBQYAAAAABgAGAFkBAABuBQAAAAA=&#10;">
            <v:path arrowok="t"/>
            <v:fill focussize="0,0"/>
            <v:stroke/>
            <v:imagedata o:title=""/>
            <o:lock v:ext="edit"/>
          </v:line>
        </w:pict>
      </w:r>
      <w:r>
        <w:rPr>
          <w:rFonts w:ascii="仿宋_GB2312" w:hAnsi="宋体" w:eastAsia="仿宋_GB2312"/>
          <w:sz w:val="28"/>
          <w:szCs w:val="28"/>
        </w:rPr>
        <w:pict>
          <v:line id="Line 3" o:spid="_x0000_s1027" o:spt="20" style="position:absolute;left:0pt;margin-left:0pt;margin-top:0pt;height:0pt;width:414pt;z-index:251660288;mso-width-relative:page;mso-height-relative:page;" coordsize="21600,21600" o:gfxdata="UEsDBAoAAAAAAIdO4kAAAAAAAAAAAAAAAAAEAAAAZHJzL1BLAwQUAAAACACHTuJACWFX/d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lhV/3QAAAAAgEAAA8AAAAAAAAAAQAgAAAA&#10;IgAAAGRycy9kb3ducmV2LnhtbFBLAQIUABQAAAAIAIdO4kD+C5PC2gEAANkDAAAOAAAAAAAAAAEA&#10;IAAAAB8BAABkcnMvZTJvRG9jLnhtbFBLBQYAAAAABgAGAFkBAABrBQAAAAA=&#10;">
            <v:path arrowok="t"/>
            <v:fill focussize="0,0"/>
            <v:stroke/>
            <v:imagedata o:title=""/>
            <o:lock v:ext="edit"/>
          </v:line>
        </w:pict>
      </w:r>
      <w:r>
        <w:rPr>
          <w:rFonts w:hint="eastAsia" w:ascii="仿宋_GB2312" w:hAnsi="宋体" w:eastAsia="仿宋_GB2312"/>
          <w:sz w:val="28"/>
          <w:szCs w:val="28"/>
        </w:rPr>
        <w:t>上饶市生态环境局办公室                2021年</w:t>
      </w:r>
      <w:r>
        <w:rPr>
          <w:rFonts w:hint="eastAsia" w:ascii="仿宋_GB2312" w:hAnsi="宋体" w:eastAsia="仿宋_GB2312"/>
          <w:sz w:val="28"/>
          <w:szCs w:val="28"/>
          <w:lang w:val="en-US" w:eastAsia="zh-CN"/>
        </w:rPr>
        <w:t>7</w:t>
      </w:r>
      <w:r>
        <w:rPr>
          <w:rFonts w:hint="eastAsia" w:ascii="仿宋_GB2312" w:hAnsi="宋体" w:eastAsia="仿宋_GB2312"/>
          <w:sz w:val="28"/>
          <w:szCs w:val="28"/>
        </w:rPr>
        <w:t>月</w:t>
      </w:r>
      <w:r>
        <w:rPr>
          <w:rFonts w:hint="eastAsia" w:ascii="仿宋_GB2312" w:hAnsi="宋体" w:eastAsia="仿宋_GB2312"/>
          <w:sz w:val="28"/>
          <w:szCs w:val="28"/>
          <w:lang w:val="en-US" w:eastAsia="zh-CN"/>
        </w:rPr>
        <w:t>13</w:t>
      </w:r>
      <w:r>
        <w:rPr>
          <w:rFonts w:hint="eastAsia" w:ascii="仿宋_GB2312" w:hAnsi="宋体" w:eastAsia="仿宋_GB2312"/>
          <w:sz w:val="28"/>
          <w:szCs w:val="28"/>
        </w:rPr>
        <w:t xml:space="preserve">日印发 </w:t>
      </w:r>
    </w:p>
    <w:sectPr>
      <w:headerReference r:id="rId3" w:type="default"/>
      <w:footerReference r:id="rId4" w:type="default"/>
      <w:footerReference r:id="rId5"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宋体" w:hAnsi="宋体"/>
        <w:sz w:val="28"/>
        <w:szCs w:val="28"/>
      </w:rPr>
      <w:tab/>
    </w:r>
    <w:r>
      <w:rPr>
        <w:rFonts w:hint="eastAsia" w:ascii="宋体" w:hAnsi="宋体"/>
        <w:sz w:val="28"/>
        <w:szCs w:val="28"/>
      </w:rPr>
      <w:t xml:space="preserve">                                                </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sz w:val="28"/>
        <w:szCs w:val="28"/>
      </w:rPr>
    </w:pPr>
    <w:r>
      <w:rPr>
        <w:rFonts w:ascii="宋体" w:hAnsi="宋体"/>
        <w:sz w:val="28"/>
        <w:szCs w:val="28"/>
      </w:rPr>
      <w:tab/>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w:instrText>
    </w:r>
    <w:r>
      <w:rPr>
        <w:rFonts w:ascii="宋体" w:hAnsi="宋体"/>
        <w:sz w:val="28"/>
        <w:szCs w:val="28"/>
      </w:rPr>
      <w:fldChar w:fldCharType="separate"/>
    </w:r>
    <w:r>
      <w:rPr>
        <w:rFonts w:ascii="宋体" w:hAnsi="宋体"/>
        <w:sz w:val="28"/>
        <w:szCs w:val="28"/>
      </w:rPr>
      <w:t>6</w:t>
    </w:r>
    <w:r>
      <w:rPr>
        <w:rFonts w:ascii="宋体" w:hAnsi="宋体"/>
        <w:sz w:val="28"/>
        <w:szCs w:val="28"/>
      </w:rPr>
      <w:fldChar w:fldCharType="end"/>
    </w:r>
    <w:r>
      <w:rPr>
        <w:rFonts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EE47FE"/>
    <w:multiLevelType w:val="singleLevel"/>
    <w:tmpl w:val="EFEE47FE"/>
    <w:lvl w:ilvl="0" w:tentative="0">
      <w:start w:val="1"/>
      <w:numFmt w:val="chineseCounting"/>
      <w:suff w:val="nothing"/>
      <w:lvlText w:val="（%1）"/>
      <w:lvlJc w:val="left"/>
      <w:rPr>
        <w:rFonts w:hint="eastAsia"/>
      </w:rPr>
    </w:lvl>
  </w:abstractNum>
  <w:abstractNum w:abstractNumId="1">
    <w:nsid w:val="53E970E3"/>
    <w:multiLevelType w:val="singleLevel"/>
    <w:tmpl w:val="53E970E3"/>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readOnly" w:enforcement="1" w:cryptProviderType="rsaFull" w:cryptAlgorithmClass="hash" w:cryptAlgorithmType="typeAny" w:cryptAlgorithmSid="4" w:cryptSpinCount="0" w:hash="XJbaDIhfjQVjwKAsQN4HPkNh6Hs=" w:salt="SZ9YNmjnrOzBuuVImQNKB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7A675E1"/>
    <w:rsid w:val="00322E24"/>
    <w:rsid w:val="003A30B5"/>
    <w:rsid w:val="006F4DE1"/>
    <w:rsid w:val="01137786"/>
    <w:rsid w:val="17A675E1"/>
    <w:rsid w:val="3E723250"/>
    <w:rsid w:val="43B04677"/>
    <w:rsid w:val="53B00EF6"/>
    <w:rsid w:val="6D107CB1"/>
    <w:rsid w:val="7CF47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4"/>
    <w:basedOn w:val="1"/>
    <w:next w:val="1"/>
    <w:qFormat/>
    <w:uiPriority w:val="0"/>
    <w:pPr>
      <w:keepNext/>
      <w:keepLines/>
      <w:spacing w:before="280" w:after="290" w:line="376" w:lineRule="auto"/>
      <w:outlineLvl w:val="3"/>
    </w:pPr>
    <w:rPr>
      <w:rFonts w:ascii="Courier New" w:hAnsi="Courier New" w:eastAsia="Cambria Math"/>
      <w:b/>
      <w:bCs/>
      <w:sz w:val="28"/>
      <w:szCs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4">
    <w:name w:val="Body Text"/>
    <w:basedOn w:val="1"/>
    <w:qFormat/>
    <w:uiPriority w:val="0"/>
    <w:rPr>
      <w:sz w:val="4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9">
    <w:name w:val="表格中文字"/>
    <w:basedOn w:val="1"/>
    <w:qFormat/>
    <w:uiPriority w:val="0"/>
    <w:pPr>
      <w:snapToGrid w:val="0"/>
      <w:spacing w:line="360" w:lineRule="exact"/>
      <w:jc w:val="center"/>
    </w:pPr>
    <w:rPr>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353</Words>
  <Characters>2015</Characters>
  <Lines>16</Lines>
  <Paragraphs>4</Paragraphs>
  <TotalTime>18</TotalTime>
  <ScaleCrop>false</ScaleCrop>
  <LinksUpToDate>false</LinksUpToDate>
  <CharactersWithSpaces>2364</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2021-06-08T09:11:00Z</dcterms:created>
  <dc:creator> YK</dc:creator>
  <cp:lastModifiedBy>今晚打老虎</cp:lastModifiedBy>
  <cp:lastPrinted>2021-07-13T09:05:00Z</cp:lastPrinted>
  <dcterms:modified xsi:type="dcterms:W3CDTF">2021-08-02T00:53:23Z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7EC72F98238E4A5384994D996CA2E9CE</vt:lpwstr>
  </property>
</Properties>
</file>