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铅山县召开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  <w:t>伦潭水库饮用水源地环境综合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  <w:t>整治工作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>动员大会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2401570</wp:posOffset>
            </wp:positionV>
            <wp:extent cx="5588000" cy="4191000"/>
            <wp:effectExtent l="0" t="0" r="12700" b="0"/>
            <wp:wrapSquare wrapText="bothSides"/>
            <wp:docPr id="2" name="图片 2" descr="微信图片_20200903115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031159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9月2日上午，副县长梁波主持召开铅山县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伦潭水库饮用水源地环境综合整治工作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动员大会，伦潭水库饮用水源地环境综合整治工作领导小组成员单位分管领导，葛仙山镇、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天柱山乡、篁碧乡、陈坊乡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个乡镇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主要领导，铅山县伦潭水利枢纽工程有限责任公司、县水务集团公司主要负责人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参加了会议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邀请县人大环资工委、县政协农工委负责人列席了会议。</w: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5588000" cy="4064000"/>
            <wp:effectExtent l="0" t="0" r="12700" b="12700"/>
            <wp:docPr id="3" name="图片 3" descr="f4448a5a9fe2d5bdadac2bd40557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448a5a9fe2d5bdadac2bd405570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0" w:lineRule="auto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9590" cy="3969385"/>
            <wp:effectExtent l="0" t="0" r="10160" b="12065"/>
            <wp:docPr id="4" name="图片 4" descr="59857a49c9f16ab8bdfb1ee80fc4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9857a49c9f16ab8bdfb1ee80fc414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会上，铅山生态环境局局长黄建平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通报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2019年7月以来铅山县伦潭水库饮用水源地环境综合整治工作情况，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并对下一步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水源地环境整治工作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提出了具体建议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天柱山乡、篁碧乡、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县自然资源局、县水利局负责人作了表态发言，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副县长梁波作总结讲话。</w:t>
      </w:r>
    </w:p>
    <w:p>
      <w:pPr>
        <w:bidi w:val="0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会议强调，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饮水安全是基本民生问题，保障全县人民饮水安全也是我们必须不折不扣完成好的一项任务，特别是随着社会发展，人民群众对水质的要求越来越高，县委县政府决心依托伦潭水库在全县实施城乡一体化供水，伦潭水库就是我们全县群众的生活用水、饮用水最大的水源地。划定水源地保护区，认真做好饮用水源地保护，全面推进水源地环境综合整治工作，十分必要，而且十分迫切，我们要坚决保护好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伦潭水库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这一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全县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的“生命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之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源”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bidi w:val="0"/>
        <w:ind w:firstLine="640" w:firstLineChars="200"/>
        <w:jc w:val="both"/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会议要求，我们要树立红线意识，增强做好水源地保护的自觉意识，突出抓好源头治理。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一是抓好工矿企业污染源的治理。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全面、快速推进准保护区、汇水面积区矿山生态恢复整治，污染地块治理恢复，废矿石遗弃物清理等工作。今后，禁止所有新建、扩建、改建项目。此外，对于目前存在的一些散乱污小企业要加紧清理取缔，生态环境局、自然资源局、市管局及相关乡镇要密切协作，推动工业企业污染源的整治工作取得实效。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二是抓好生活污染源的治理。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要切实加强水源地周边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"http://www.wm114.cn/wen/nongye"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的生活垃圾无害化处理、禽畜养殖污染防治等工作，将“蓝天、碧水、净土”三大保卫战，延伸到水源地周边农村，还水源地周边一个洁净的生态环境。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三是抓好农业面源污染的治理。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保护伦潭水库水质，督促、引导当地农民少施肥、不施毒性大、高残留的化肥农药；取缔一、二级保护区内所有畜禽养殖、水面养殖、库区采沙，今后，保护区范围内要禁止生猪、禽类规模化养殖。农业农村局和乡镇，要转变思想，创新意识，大力引导发展生态农业和绿色产业，解决农民增收和水源地保护的矛盾。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四是抓好公路交通污染的治理。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态环境局、公路局和交通局通力合作，进一步推进实施饮用水水源保护区生态隔离防护工程建设，做好公路与饮用水水体的隔离防护及标准化建设，在道路两侧建设防撞栏、路面径流收集沟及事故应急池等应急防护工程设施。避免人类活动对水质的影响。</w:t>
      </w:r>
    </w:p>
    <w:p>
      <w:pPr>
        <w:bidi w:val="0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会议要求，要</w:t>
      </w:r>
      <w:r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建立完善饮用水源地环境应急体系、广泛深入的水源地保护工作宣传机制、常态化的水源地保护工作监督机制等工作机制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，为水源地保护提供强力保障。伦潭水利枢纽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工程有限责任公司和县水务集团公司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为直接相关的企业，在实现经济效益以外，更多地创造社会效益；希望县人大、县政协一如既往地关注、关心和支持伦潭水库水源地保护区的各项工作，勤监督、建良言、献良策，为水源地保护使用保驾护航；各部门各单位广泛行动起来，积极投身水源地保护工作中来，发扬成绩、再接再厉、攻坚克难、不断进取，努力开创水源地保护工作新局面，共同维护好全县人民的“生命之源”。</w:t>
      </w: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上饶市铅山生态环境局  </w:t>
      </w:r>
    </w:p>
    <w:p>
      <w:pPr>
        <w:pStyle w:val="2"/>
        <w:jc w:val="righ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2020年9月3日</w:t>
      </w:r>
    </w:p>
    <w:p>
      <w:pPr>
        <w:pStyle w:val="2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31E4"/>
    <w:rsid w:val="054F6226"/>
    <w:rsid w:val="0652220C"/>
    <w:rsid w:val="0C3406A8"/>
    <w:rsid w:val="0CDF752E"/>
    <w:rsid w:val="0F9F12C3"/>
    <w:rsid w:val="0FEA586A"/>
    <w:rsid w:val="13407382"/>
    <w:rsid w:val="1DA56AB3"/>
    <w:rsid w:val="22FA5A5B"/>
    <w:rsid w:val="2C016F4B"/>
    <w:rsid w:val="2D3827B5"/>
    <w:rsid w:val="33EB1223"/>
    <w:rsid w:val="373502FF"/>
    <w:rsid w:val="3F04343A"/>
    <w:rsid w:val="43905CC5"/>
    <w:rsid w:val="49427797"/>
    <w:rsid w:val="4B4E3D6D"/>
    <w:rsid w:val="51F949E0"/>
    <w:rsid w:val="55C748BE"/>
    <w:rsid w:val="5BEA615D"/>
    <w:rsid w:val="5EC34E0A"/>
    <w:rsid w:val="5F5477A5"/>
    <w:rsid w:val="65584AB8"/>
    <w:rsid w:val="6B0142A3"/>
    <w:rsid w:val="6E3A2E65"/>
    <w:rsid w:val="6FB13B2F"/>
    <w:rsid w:val="761E2A57"/>
    <w:rsid w:val="7FBF30CD"/>
    <w:rsid w:val="7FE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spacing w:line="576" w:lineRule="exact"/>
    </w:pPr>
    <w:rPr>
      <w:rFonts w:ascii="宋体" w:hAnsi="Courier New" w:eastAsia="Times New Roman"/>
      <w:kern w:val="0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彩虹</cp:lastModifiedBy>
  <cp:lastPrinted>2020-07-11T09:13:00Z</cp:lastPrinted>
  <dcterms:modified xsi:type="dcterms:W3CDTF">2020-09-03T04:27:27Z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