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rPr>
      </w:pPr>
    </w:p>
    <w:p>
      <w:pPr>
        <w:pStyle w:val="4"/>
        <w:jc w:val="center"/>
        <w:rPr>
          <w:rFonts w:hint="eastAsia"/>
        </w:rPr>
      </w:pPr>
    </w:p>
    <w:p>
      <w:pPr>
        <w:pStyle w:val="4"/>
        <w:jc w:val="center"/>
        <w:rPr>
          <w:rFonts w:hint="eastAsia"/>
        </w:rPr>
      </w:pPr>
    </w:p>
    <w:p>
      <w:pPr>
        <w:pStyle w:val="4"/>
        <w:jc w:val="center"/>
        <w:rPr>
          <w:rFonts w:hint="eastAsia"/>
        </w:rPr>
      </w:pPr>
    </w:p>
    <w:p>
      <w:pPr>
        <w:pStyle w:val="4"/>
        <w:jc w:val="center"/>
        <w:rPr>
          <w:rFonts w:hint="eastAsia"/>
        </w:rPr>
      </w:pPr>
    </w:p>
    <w:p>
      <w:pPr>
        <w:pStyle w:val="4"/>
        <w:jc w:val="both"/>
        <w:rPr>
          <w:rFonts w:hint="eastAsia"/>
        </w:rPr>
      </w:pPr>
    </w:p>
    <w:p>
      <w:pPr>
        <w:pStyle w:val="4"/>
        <w:ind w:firstLine="2240" w:firstLineChars="700"/>
        <w:rPr>
          <w:rFonts w:hint="eastAsia" w:ascii="仿宋_GB2312" w:eastAsia="仿宋_GB2312"/>
          <w:sz w:val="32"/>
        </w:rPr>
      </w:pPr>
      <w:r>
        <w:rPr>
          <w:rFonts w:hint="eastAsia" w:ascii="仿宋_GB2312" w:eastAsia="仿宋_GB2312"/>
          <w:sz w:val="32"/>
        </w:rPr>
        <w:t>饶环</w:t>
      </w:r>
      <w:r>
        <w:rPr>
          <w:rFonts w:hint="eastAsia" w:ascii="仿宋_GB2312" w:eastAsia="仿宋_GB2312"/>
          <w:sz w:val="32"/>
          <w:lang w:eastAsia="zh-CN"/>
        </w:rPr>
        <w:t>评</w:t>
      </w:r>
      <w:r>
        <w:rPr>
          <w:rFonts w:hint="eastAsia" w:ascii="仿宋_GB2312" w:eastAsia="仿宋_GB2312"/>
          <w:sz w:val="32"/>
        </w:rPr>
        <w:t>字〔20</w:t>
      </w:r>
      <w:r>
        <w:rPr>
          <w:rFonts w:hint="eastAsia" w:ascii="仿宋_GB2312" w:eastAsia="仿宋_GB2312"/>
          <w:sz w:val="32"/>
          <w:lang w:val="en-US" w:eastAsia="zh-CN"/>
        </w:rPr>
        <w:t>20</w:t>
      </w:r>
      <w:r>
        <w:rPr>
          <w:rFonts w:hint="eastAsia" w:ascii="仿宋_GB2312" w:eastAsia="仿宋_GB2312"/>
          <w:sz w:val="32"/>
        </w:rPr>
        <w:t>〕</w:t>
      </w:r>
      <w:r>
        <w:rPr>
          <w:rFonts w:hint="eastAsia" w:ascii="仿宋_GB2312" w:eastAsia="仿宋_GB2312"/>
          <w:sz w:val="32"/>
          <w:lang w:val="en-US" w:eastAsia="zh-CN"/>
        </w:rPr>
        <w:t>27</w:t>
      </w:r>
      <w:r>
        <w:rPr>
          <w:rFonts w:hint="eastAsia" w:ascii="仿宋_GB2312" w:eastAsia="仿宋_GB2312"/>
          <w:sz w:val="32"/>
        </w:rPr>
        <w:t>号</w:t>
      </w:r>
    </w:p>
    <w:p>
      <w:pPr>
        <w:pStyle w:val="4"/>
        <w:jc w:val="center"/>
        <w:rPr>
          <w:rFonts w:hint="eastAsia"/>
        </w:rPr>
      </w:pPr>
    </w:p>
    <w:p>
      <w:pPr>
        <w:pStyle w:val="4"/>
        <w:jc w:val="center"/>
        <w:rPr>
          <w:rFonts w:hint="eastAsia"/>
        </w:rPr>
      </w:pPr>
      <w:permStart w:id="0" w:edGrp="everyone"/>
      <w:permEnd w:id="0"/>
    </w:p>
    <w:p>
      <w:pPr>
        <w:pStyle w:val="4"/>
        <w:tabs>
          <w:tab w:val="left" w:pos="7380"/>
        </w:tabs>
        <w:spacing w:line="600" w:lineRule="exact"/>
        <w:jc w:val="center"/>
        <w:rPr>
          <w:rFonts w:hint="eastAsia" w:ascii="方正小标宋简体" w:eastAsia="方正小标宋简体"/>
          <w:bCs/>
        </w:rPr>
      </w:pPr>
      <w:r>
        <w:rPr>
          <w:rFonts w:hint="eastAsia" w:ascii="方正小标宋简体" w:eastAsia="方正小标宋简体"/>
          <w:bCs/>
        </w:rPr>
        <w:t>关于弋阳县东兴实业有限公司登山萤石矿开采新建项目环境影响报告书的批复</w:t>
      </w:r>
    </w:p>
    <w:p>
      <w:pPr>
        <w:rPr>
          <w:rFonts w:hint="eastAsia" w:ascii="宋体" w:hAnsi="宋体"/>
          <w:sz w:val="32"/>
        </w:rPr>
      </w:pP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eastAsia="仿宋_GB2312"/>
          <w:sz w:val="32"/>
          <w:szCs w:val="32"/>
        </w:rPr>
      </w:pPr>
      <w:r>
        <w:rPr>
          <w:rFonts w:hint="eastAsia" w:ascii="仿宋_GB2312" w:eastAsia="仿宋_GB2312"/>
          <w:sz w:val="32"/>
          <w:szCs w:val="32"/>
        </w:rPr>
        <w:t>弋阳县东兴实业有限公司：</w:t>
      </w:r>
      <w:bookmarkStart w:id="0" w:name="_GoBack"/>
      <w:bookmarkEnd w:id="0"/>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你公司呈报的《弋阳县东兴实业有限公司登山萤石矿开采新建项目环境影响报告书》（以下简称《报告书》）收悉。经研究，现批复如下：</w:t>
      </w:r>
    </w:p>
    <w:p>
      <w:pPr>
        <w:keepNext w:val="0"/>
        <w:keepLines w:val="0"/>
        <w:pageBreakBefore w:val="0"/>
        <w:widowControl w:val="0"/>
        <w:numPr>
          <w:ilvl w:val="0"/>
          <w:numId w:val="1"/>
        </w:numPr>
        <w:kinsoku/>
        <w:wordWrap/>
        <w:overflowPunct/>
        <w:topLinePunct w:val="0"/>
        <w:autoSpaceDE/>
        <w:autoSpaceDN/>
        <w:bidi w:val="0"/>
        <w:spacing w:line="600" w:lineRule="exact"/>
        <w:ind w:firstLine="640" w:firstLineChars="200"/>
        <w:textAlignment w:val="auto"/>
        <w:rPr>
          <w:rFonts w:hint="eastAsia" w:ascii="仿宋_GB2312" w:eastAsia="仿宋_GB2312"/>
          <w:sz w:val="32"/>
          <w:szCs w:val="32"/>
        </w:rPr>
      </w:pPr>
      <w:r>
        <w:rPr>
          <w:rFonts w:hint="eastAsia" w:ascii="黑体" w:hAnsi="黑体" w:eastAsia="黑体"/>
          <w:bCs/>
          <w:sz w:val="32"/>
          <w:szCs w:val="32"/>
        </w:rPr>
        <w:t>项目基本情况及项目批复意见</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（一）项目基本情况。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rPr>
        <w:t>弋阳县东兴实业有限公司登山萤石矿位开采新建项目于弋阳县城30°方向3</w:t>
      </w:r>
      <w:r>
        <w:rPr>
          <w:rFonts w:hint="eastAsia" w:ascii="仿宋_GB2312" w:hAnsi="宋体" w:eastAsia="仿宋_GB2312"/>
          <w:sz w:val="32"/>
          <w:szCs w:val="32"/>
          <w:lang w:val="en-US" w:eastAsia="zh-CN"/>
        </w:rPr>
        <w:t>2.5</w:t>
      </w:r>
      <w:r>
        <w:rPr>
          <w:rFonts w:hint="eastAsia" w:ascii="仿宋_GB2312" w:hAnsi="宋体" w:eastAsia="仿宋_GB2312"/>
          <w:sz w:val="32"/>
          <w:szCs w:val="32"/>
        </w:rPr>
        <w:t>km处，属弋阳县漆工镇管辖。地理坐标：东经117°34′15.2″～117°35′00.1″，北纬28°38′30.2″～28°38′59.6″</w:t>
      </w:r>
      <w:r>
        <w:rPr>
          <w:rFonts w:hint="eastAsia" w:ascii="仿宋_GB2312" w:hAnsi="宋体" w:eastAsia="仿宋_GB2312"/>
          <w:sz w:val="32"/>
          <w:szCs w:val="32"/>
          <w:lang w:eastAsia="zh-CN"/>
        </w:rPr>
        <w:t>，</w:t>
      </w:r>
      <w:r>
        <w:rPr>
          <w:rFonts w:hint="eastAsia" w:ascii="仿宋_GB2312" w:hAnsi="宋体" w:eastAsia="仿宋_GB2312"/>
          <w:sz w:val="32"/>
          <w:szCs w:val="32"/>
        </w:rPr>
        <w:t>采矿面积为0.</w:t>
      </w:r>
      <w:r>
        <w:rPr>
          <w:rFonts w:hint="eastAsia" w:ascii="仿宋_GB2312" w:hAnsi="宋体" w:eastAsia="仿宋_GB2312"/>
          <w:sz w:val="32"/>
          <w:szCs w:val="32"/>
          <w:lang w:val="en-US" w:eastAsia="zh-CN"/>
        </w:rPr>
        <w:t>5374</w:t>
      </w:r>
      <w:r>
        <w:rPr>
          <w:rFonts w:hint="eastAsia" w:ascii="仿宋_GB2312" w:hAnsi="宋体" w:eastAsia="仿宋_GB2312"/>
          <w:sz w:val="32"/>
          <w:szCs w:val="32"/>
        </w:rPr>
        <w:t>平方公里。</w:t>
      </w:r>
      <w:r>
        <w:rPr>
          <w:rFonts w:hint="eastAsia" w:ascii="仿宋_GB2312" w:hAnsi="宋体" w:eastAsia="仿宋_GB2312"/>
          <w:sz w:val="32"/>
          <w:szCs w:val="32"/>
          <w:lang w:eastAsia="zh-CN"/>
        </w:rPr>
        <w:t>项目设计开采能力3万吨/年，CaF</w:t>
      </w:r>
      <w:r>
        <w:rPr>
          <w:rFonts w:hint="eastAsia" w:ascii="仿宋_GB2312" w:hAnsi="宋体" w:eastAsia="仿宋_GB2312"/>
          <w:sz w:val="32"/>
          <w:szCs w:val="32"/>
          <w:vertAlign w:val="subscript"/>
          <w:lang w:eastAsia="zh-CN"/>
        </w:rPr>
        <w:t>2</w:t>
      </w:r>
      <w:r>
        <w:rPr>
          <w:rFonts w:hint="eastAsia" w:ascii="仿宋_GB2312" w:hAnsi="宋体" w:eastAsia="仿宋_GB2312"/>
          <w:sz w:val="32"/>
          <w:szCs w:val="32"/>
          <w:lang w:eastAsia="zh-CN"/>
        </w:rPr>
        <w:t>矿物平均品位45.32%，采矿回收率90%，废石混入率为4.2%，矿山自2018年7月至今未进行开采作业，矿山服务年限为4.8年</w:t>
      </w: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lang w:val="zh-CN"/>
        </w:rPr>
      </w:pPr>
      <w:r>
        <w:rPr>
          <w:rFonts w:hint="eastAsia" w:ascii="仿宋_GB2312" w:hAnsi="宋体" w:eastAsia="仿宋_GB2312"/>
          <w:sz w:val="32"/>
          <w:szCs w:val="32"/>
        </w:rPr>
        <w:t>项目采矿方法为浅孔留矿法，通风方式为机械抽出式通风。</w:t>
      </w:r>
      <w:r>
        <w:rPr>
          <w:rFonts w:hint="eastAsia" w:ascii="仿宋_GB2312" w:hAnsi="宋体" w:eastAsia="仿宋_GB2312"/>
          <w:sz w:val="32"/>
          <w:szCs w:val="32"/>
          <w:lang w:val="zh-CN"/>
        </w:rPr>
        <w:t>项目总投资</w:t>
      </w:r>
      <w:r>
        <w:rPr>
          <w:rFonts w:hint="eastAsia" w:ascii="仿宋_GB2312" w:hAnsi="宋体" w:eastAsia="仿宋_GB2312"/>
          <w:sz w:val="32"/>
          <w:szCs w:val="32"/>
          <w:lang w:val="zh-CN" w:eastAsia="zh-CN"/>
        </w:rPr>
        <w:t>500</w:t>
      </w:r>
      <w:r>
        <w:rPr>
          <w:rFonts w:hint="eastAsia" w:ascii="仿宋_GB2312" w:hAnsi="宋体" w:eastAsia="仿宋_GB2312"/>
          <w:sz w:val="32"/>
          <w:szCs w:val="32"/>
          <w:lang w:val="zh-CN"/>
        </w:rPr>
        <w:t>万元，其中环保投资</w:t>
      </w:r>
      <w:r>
        <w:rPr>
          <w:rFonts w:hint="eastAsia" w:ascii="仿宋_GB2312" w:hAnsi="宋体" w:eastAsia="仿宋_GB2312"/>
          <w:sz w:val="32"/>
          <w:szCs w:val="32"/>
          <w:lang w:val="en-US" w:eastAsia="zh-CN"/>
        </w:rPr>
        <w:t>87</w:t>
      </w:r>
      <w:r>
        <w:rPr>
          <w:rFonts w:hint="eastAsia" w:ascii="仿宋_GB2312" w:hAnsi="宋体" w:eastAsia="仿宋_GB2312"/>
          <w:sz w:val="32"/>
          <w:szCs w:val="32"/>
          <w:lang w:val="zh-CN" w:eastAsia="zh-CN"/>
        </w:rPr>
        <w:t>.5</w:t>
      </w:r>
      <w:r>
        <w:rPr>
          <w:rFonts w:hint="eastAsia" w:ascii="仿宋_GB2312" w:hAnsi="宋体" w:eastAsia="仿宋_GB2312"/>
          <w:sz w:val="32"/>
          <w:szCs w:val="32"/>
          <w:lang w:val="zh-CN"/>
        </w:rPr>
        <w:t>万元。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（二）项目批复意见。根据《报告书》的结论、市环境工程评估中心的评估意见（饶环技评书〔20</w:t>
      </w:r>
      <w:r>
        <w:rPr>
          <w:rFonts w:hint="eastAsia" w:ascii="仿宋_GB2312" w:hAnsi="宋体" w:eastAsia="仿宋_GB2312"/>
          <w:sz w:val="32"/>
          <w:szCs w:val="32"/>
          <w:lang w:val="en-US" w:eastAsia="zh-CN"/>
        </w:rPr>
        <w:t>20</w:t>
      </w:r>
      <w:r>
        <w:rPr>
          <w:rFonts w:hint="eastAsia" w:ascii="仿宋_GB2312" w:hAnsi="宋体" w:eastAsia="仿宋_GB2312"/>
          <w:sz w:val="32"/>
          <w:szCs w:val="32"/>
        </w:rPr>
        <w:t>〕</w:t>
      </w:r>
      <w:r>
        <w:rPr>
          <w:rFonts w:hint="eastAsia" w:ascii="仿宋_GB2312" w:hAnsi="宋体" w:eastAsia="仿宋_GB2312"/>
          <w:sz w:val="32"/>
          <w:szCs w:val="32"/>
          <w:lang w:val="en-US" w:eastAsia="zh-CN"/>
        </w:rPr>
        <w:t>08</w:t>
      </w:r>
      <w:r>
        <w:rPr>
          <w:rFonts w:hint="eastAsia" w:ascii="仿宋_GB2312" w:hAnsi="宋体" w:eastAsia="仿宋_GB2312"/>
          <w:sz w:val="32"/>
          <w:szCs w:val="32"/>
        </w:rPr>
        <w:t>号）和</w:t>
      </w:r>
      <w:r>
        <w:rPr>
          <w:rFonts w:hint="eastAsia" w:ascii="仿宋_GB2312" w:hAnsi="宋体" w:eastAsia="仿宋_GB2312"/>
          <w:sz w:val="32"/>
          <w:szCs w:val="32"/>
          <w:lang w:eastAsia="zh-CN"/>
        </w:rPr>
        <w:t>上饶市弋阳生态环境局</w:t>
      </w:r>
      <w:r>
        <w:rPr>
          <w:rFonts w:hint="eastAsia" w:ascii="仿宋_GB2312" w:hAnsi="宋体" w:eastAsia="仿宋_GB2312"/>
          <w:sz w:val="32"/>
          <w:szCs w:val="32"/>
        </w:rPr>
        <w:t>的意见，你公司应全面落实环境影响报告书提出的各项污染防治措施及环境风险防范措施，缓解和控制不利环境影响。我局原则同意你公司“登山萤石矿开采新建项目”的建设。</w:t>
      </w:r>
    </w:p>
    <w:p>
      <w:pPr>
        <w:keepNext w:val="0"/>
        <w:keepLines w:val="0"/>
        <w:pageBreakBefore w:val="0"/>
        <w:widowControl w:val="0"/>
        <w:numPr>
          <w:ilvl w:val="0"/>
          <w:numId w:val="1"/>
        </w:numPr>
        <w:kinsoku/>
        <w:wordWrap/>
        <w:overflowPunct/>
        <w:topLinePunct w:val="0"/>
        <w:autoSpaceDE/>
        <w:autoSpaceDN/>
        <w:bidi w:val="0"/>
        <w:spacing w:line="600" w:lineRule="exact"/>
        <w:ind w:firstLine="640" w:firstLineChars="200"/>
        <w:textAlignment w:val="auto"/>
        <w:rPr>
          <w:rFonts w:hint="eastAsia" w:ascii="黑体" w:hAnsi="黑体" w:eastAsia="黑体"/>
          <w:bCs/>
          <w:sz w:val="32"/>
          <w:szCs w:val="32"/>
        </w:rPr>
      </w:pPr>
      <w:r>
        <w:rPr>
          <w:rFonts w:hint="eastAsia" w:ascii="黑体" w:hAnsi="黑体" w:eastAsia="黑体"/>
          <w:bCs/>
          <w:sz w:val="32"/>
          <w:szCs w:val="32"/>
        </w:rPr>
        <w:t>项目要着重做好以下环境保护工作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项目在工程设计、建筑和生产过程中必须认真落实环境影响报告书提出的各项环保措施和要求，重点做好以下工作：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rPr>
        <w:t>（一）严格落实大气污染防治措施。项目产生的废气要按照《报告书》的要求治理，根据废气中污染物的类别和性质，采用成熟可靠工艺处理，确保废气污染物长期稳定达标排放。井下采矿采用湿式作业，且在各产尘点及通道加强洒水、喷雾等措施。通过湿式作业和井下洒水降尘，降低风井废气排放，风井废气中TSP、NOx排放执行《大气污染物综合排放标准》（GB16297-1996）表2二级标准要求</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rPr>
      </w:pPr>
      <w:r>
        <w:rPr>
          <w:rFonts w:hint="eastAsia" w:ascii="仿宋_GB2312" w:hAnsi="宋体" w:eastAsia="仿宋_GB2312"/>
          <w:sz w:val="32"/>
          <w:szCs w:val="32"/>
        </w:rPr>
        <w:t>（二）严格落实水污染防治措施。按照“清污分流、雨污分流、分质处理、一水多用”原则，合理制定废水收集、处理方案。项目</w:t>
      </w:r>
      <w:r>
        <w:rPr>
          <w:rFonts w:hint="eastAsia" w:ascii="仿宋_GB2312" w:hAnsi="宋体" w:eastAsia="仿宋_GB2312"/>
          <w:sz w:val="32"/>
          <w:szCs w:val="32"/>
          <w:lang w:eastAsia="zh-CN"/>
        </w:rPr>
        <w:t>废水排入兴鑫矿区内，依托兴鑫矿区内的796m</w:t>
      </w:r>
      <w:r>
        <w:rPr>
          <w:rFonts w:hint="eastAsia" w:ascii="仿宋_GB2312" w:hAnsi="宋体" w:eastAsia="仿宋_GB2312"/>
          <w:sz w:val="32"/>
          <w:szCs w:val="32"/>
          <w:vertAlign w:val="superscript"/>
          <w:lang w:eastAsia="zh-CN"/>
        </w:rPr>
        <w:t>3</w:t>
      </w:r>
      <w:r>
        <w:rPr>
          <w:rFonts w:hint="eastAsia" w:ascii="仿宋_GB2312" w:hAnsi="宋体" w:eastAsia="仿宋_GB2312"/>
          <w:sz w:val="32"/>
          <w:szCs w:val="32"/>
          <w:lang w:eastAsia="zh-CN"/>
        </w:rPr>
        <w:t>的沉淀池进行沉淀及后续处理，项目</w:t>
      </w:r>
      <w:r>
        <w:rPr>
          <w:rFonts w:hint="eastAsia" w:ascii="仿宋_GB2312" w:hAnsi="宋体" w:eastAsia="仿宋_GB2312"/>
          <w:sz w:val="32"/>
          <w:szCs w:val="32"/>
        </w:rPr>
        <w:t>生活污水经</w:t>
      </w:r>
      <w:r>
        <w:rPr>
          <w:rFonts w:hint="eastAsia" w:ascii="仿宋_GB2312" w:hAnsi="宋体" w:eastAsia="仿宋_GB2312"/>
          <w:sz w:val="32"/>
          <w:szCs w:val="32"/>
          <w:lang w:eastAsia="zh-CN"/>
        </w:rPr>
        <w:t>化粪池</w:t>
      </w:r>
      <w:r>
        <w:rPr>
          <w:rFonts w:hint="eastAsia" w:ascii="仿宋_GB2312" w:hAnsi="宋体" w:eastAsia="仿宋_GB2312"/>
          <w:sz w:val="32"/>
          <w:szCs w:val="32"/>
        </w:rPr>
        <w:t>处理后用于</w:t>
      </w:r>
      <w:r>
        <w:rPr>
          <w:rFonts w:hint="eastAsia" w:ascii="仿宋_GB2312" w:hAnsi="宋体" w:eastAsia="仿宋_GB2312"/>
          <w:sz w:val="32"/>
          <w:szCs w:val="32"/>
          <w:lang w:eastAsia="zh-CN"/>
        </w:rPr>
        <w:t>周边农田</w:t>
      </w:r>
      <w:r>
        <w:rPr>
          <w:rFonts w:hint="eastAsia" w:ascii="仿宋_GB2312" w:hAnsi="宋体" w:eastAsia="仿宋_GB2312"/>
          <w:sz w:val="32"/>
          <w:szCs w:val="32"/>
        </w:rPr>
        <w:t>施肥。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rPr>
        <w:t>（三）</w:t>
      </w:r>
      <w:r>
        <w:rPr>
          <w:rFonts w:hint="eastAsia" w:ascii="仿宋_GB2312" w:hAnsi="宋体" w:eastAsia="仿宋_GB2312"/>
          <w:sz w:val="32"/>
          <w:szCs w:val="32"/>
        </w:rPr>
        <w:t>加强固体废物污染防治。对项目产生的固体废物要按照《报告书》的要求进行治理，不得对周围环境造成污染。项目井下废石优先用于采空区回填或填垫运矿道路。</w:t>
      </w:r>
      <w:r>
        <w:rPr>
          <w:rFonts w:hint="eastAsia" w:ascii="仿宋_GB2312" w:hAnsi="仿宋_GB2312" w:eastAsia="仿宋_GB2312" w:cs="仿宋_GB2312"/>
          <w:bCs/>
          <w:sz w:val="32"/>
          <w:szCs w:val="32"/>
        </w:rPr>
        <w:t>项目废土石外售</w:t>
      </w:r>
      <w:r>
        <w:rPr>
          <w:rFonts w:hint="eastAsia" w:ascii="仿宋_GB2312" w:hAnsi="仿宋_GB2312" w:eastAsia="仿宋_GB2312" w:cs="仿宋_GB2312"/>
          <w:bCs/>
          <w:sz w:val="32"/>
          <w:szCs w:val="32"/>
          <w:lang w:eastAsia="zh-CN"/>
        </w:rPr>
        <w:t>，不在矿区内堆存；</w:t>
      </w:r>
      <w:r>
        <w:rPr>
          <w:rFonts w:hint="eastAsia" w:ascii="仿宋_GB2312" w:hAnsi="仿宋_GB2312" w:eastAsia="仿宋_GB2312" w:cs="仿宋_GB2312"/>
          <w:bCs/>
          <w:sz w:val="32"/>
          <w:szCs w:val="32"/>
        </w:rPr>
        <w:t>废机油送有资质单位综合利用或处置；含油废抹布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生活垃圾一起收集后</w:t>
      </w:r>
      <w:r>
        <w:rPr>
          <w:rFonts w:hint="eastAsia" w:ascii="仿宋_GB2312" w:hAnsi="仿宋_GB2312" w:eastAsia="仿宋_GB2312" w:cs="仿宋_GB2312"/>
          <w:bCs/>
          <w:sz w:val="32"/>
          <w:szCs w:val="32"/>
          <w:lang w:eastAsia="zh-CN"/>
        </w:rPr>
        <w:t>交</w:t>
      </w:r>
      <w:r>
        <w:rPr>
          <w:rFonts w:hint="eastAsia" w:ascii="仿宋_GB2312" w:hAnsi="仿宋_GB2312" w:eastAsia="仿宋_GB2312" w:cs="仿宋_GB2312"/>
          <w:bCs/>
          <w:sz w:val="32"/>
          <w:szCs w:val="32"/>
        </w:rPr>
        <w:t xml:space="preserve">由当地环卫部门统一清运处理。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四）加强噪声污染防治。项目噪声主要来源于采矿过程中的爆破、铲装、运输，主要高噪声设备有凿岩机、空压机、风机等设备运转噪声。选用低噪声设备，合理安排工作时间和运输时间，尽量避开午间和夜间爆破和运输；加强运输车辆的管理和沿途道路的维护，经过村庄时应限速行进，禁鸣喇叭，分散进出，减少对居民的影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五）严格落实环境风险防范措施。严格落环境影响报告书中提出的各项环境风险防控措施，认真制定环境风险应急预案，配备环境应急设施和装备。一旦发生环境风险事故，必须立即启动环境风险应急预案，控制并削减对外环境的污染影响。矿方加强监管，严格按照相关规范设计、施工和管理。矿山炸药暂存库按《爆破安全规程》（GB6722-2014）要求设计和建设，炸药在运输、贮存和使用过程中严格按《爆破安全规程》（GB6722-2014）有关规定执行。</w:t>
      </w:r>
    </w:p>
    <w:p>
      <w:pPr>
        <w:keepNext w:val="0"/>
        <w:keepLines w:val="0"/>
        <w:pageBreakBefore w:val="0"/>
        <w:widowControl w:val="0"/>
        <w:tabs>
          <w:tab w:val="left" w:pos="3825"/>
          <w:tab w:val="left" w:pos="4680"/>
        </w:tabs>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六</w:t>
      </w:r>
      <w:r>
        <w:rPr>
          <w:rFonts w:hint="eastAsia" w:ascii="仿宋_GB2312" w:hAnsi="宋体" w:eastAsia="仿宋_GB2312"/>
          <w:sz w:val="32"/>
          <w:szCs w:val="32"/>
        </w:rPr>
        <w:t>）生态环境保护措施</w:t>
      </w:r>
    </w:p>
    <w:p>
      <w:pPr>
        <w:keepNext w:val="0"/>
        <w:keepLines w:val="0"/>
        <w:pageBreakBefore w:val="0"/>
        <w:widowControl w:val="0"/>
        <w:tabs>
          <w:tab w:val="left" w:pos="3825"/>
          <w:tab w:val="left" w:pos="4680"/>
        </w:tabs>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生产期生态环境保护主要是对废水和固体废物进行控制，加强管理，确保废水处理设施正常运行。对固体废物处置设施进行专门监管，出现状况时应及时采取措施处理，以减少水土流失。对于已开采区应在不影响后续开采的前提下尽早进行生态恢复。</w:t>
      </w:r>
    </w:p>
    <w:p>
      <w:pPr>
        <w:keepNext w:val="0"/>
        <w:keepLines w:val="0"/>
        <w:pageBreakBefore w:val="0"/>
        <w:widowControl w:val="0"/>
        <w:kinsoku/>
        <w:wordWrap/>
        <w:overflowPunct/>
        <w:topLinePunct w:val="0"/>
        <w:autoSpaceDE/>
        <w:autoSpaceDN/>
        <w:bidi w:val="0"/>
        <w:adjustRightInd w:val="0"/>
        <w:snapToGrid w:val="0"/>
        <w:spacing w:line="600" w:lineRule="exact"/>
        <w:ind w:firstLine="68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七</w:t>
      </w:r>
      <w:r>
        <w:rPr>
          <w:rFonts w:hint="eastAsia" w:ascii="仿宋_GB2312" w:eastAsia="仿宋_GB2312"/>
          <w:sz w:val="32"/>
          <w:szCs w:val="32"/>
        </w:rPr>
        <w:t>）项目周边规划控制要求。</w:t>
      </w:r>
      <w:r>
        <w:rPr>
          <w:rFonts w:hint="eastAsia" w:ascii="仿宋_GB2312" w:hAnsi="仿宋_GB2312" w:eastAsia="仿宋_GB2312" w:cs="仿宋_GB2312"/>
          <w:sz w:val="32"/>
          <w:szCs w:val="32"/>
        </w:rPr>
        <w:t>根据报告书计算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项目的防护距离为矿区边界为起点向外100m以内的范围。</w:t>
      </w:r>
      <w:r>
        <w:rPr>
          <w:rFonts w:hint="eastAsia" w:ascii="仿宋_GB2312" w:eastAsia="仿宋_GB2312"/>
          <w:sz w:val="32"/>
          <w:szCs w:val="32"/>
          <w:lang w:eastAsia="zh-CN"/>
        </w:rPr>
        <w:t>你公司应配合弋阳县人民政府，严格控制好本项目周边规划，项目卫生防护距离范围内不得新建居民住宅、学校及医院等环境敏感性建筑</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8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八</w:t>
      </w:r>
      <w:r>
        <w:rPr>
          <w:rFonts w:hint="eastAsia" w:ascii="仿宋_GB2312" w:eastAsia="仿宋_GB2312"/>
          <w:sz w:val="32"/>
          <w:szCs w:val="32"/>
        </w:rPr>
        <w:t>）排污口规范化要求。按规定设置规范的污染物排放口，设立相应的标志牌。</w:t>
      </w:r>
    </w:p>
    <w:p>
      <w:pPr>
        <w:keepNext w:val="0"/>
        <w:keepLines w:val="0"/>
        <w:pageBreakBefore w:val="0"/>
        <w:widowControl w:val="0"/>
        <w:kinsoku/>
        <w:wordWrap/>
        <w:overflowPunct/>
        <w:topLinePunct w:val="0"/>
        <w:autoSpaceDE/>
        <w:autoSpaceDN/>
        <w:bidi w:val="0"/>
        <w:spacing w:line="600" w:lineRule="exact"/>
        <w:ind w:firstLine="680"/>
        <w:textAlignment w:val="auto"/>
        <w:rPr>
          <w:rFonts w:hint="eastAsia" w:ascii="仿宋_GB2312" w:hAnsi="宋体" w:eastAsia="仿宋_GB2312"/>
          <w:sz w:val="32"/>
        </w:rPr>
      </w:pPr>
      <w:r>
        <w:rPr>
          <w:rFonts w:hint="eastAsia" w:ascii="仿宋_GB2312" w:hAnsi="宋体" w:eastAsia="仿宋_GB2312"/>
          <w:sz w:val="32"/>
        </w:rPr>
        <w:t>（</w:t>
      </w:r>
      <w:r>
        <w:rPr>
          <w:rFonts w:hint="eastAsia" w:ascii="仿宋_GB2312" w:hAnsi="宋体" w:eastAsia="仿宋_GB2312"/>
          <w:sz w:val="32"/>
          <w:lang w:eastAsia="zh-CN"/>
        </w:rPr>
        <w:t>九</w:t>
      </w:r>
      <w:r>
        <w:rPr>
          <w:rFonts w:hint="eastAsia" w:ascii="仿宋_GB2312" w:hAnsi="宋体" w:eastAsia="仿宋_GB2312"/>
          <w:sz w:val="32"/>
        </w:rPr>
        <w:t>）公众参与要求。在工程施工和运营过程中，应建立畅通的公众参与平台，及时解决公众担忧的环境问题，满足公众合理的环境保护要求。定期发布企业环境信息，并主动接受社会监督。</w:t>
      </w:r>
    </w:p>
    <w:p>
      <w:pPr>
        <w:keepNext w:val="0"/>
        <w:keepLines w:val="0"/>
        <w:pageBreakBefore w:val="0"/>
        <w:widowControl w:val="0"/>
        <w:kinsoku/>
        <w:wordWrap/>
        <w:overflowPunct/>
        <w:topLinePunct w:val="0"/>
        <w:autoSpaceDE/>
        <w:autoSpaceDN/>
        <w:bidi w:val="0"/>
        <w:spacing w:line="600" w:lineRule="exact"/>
        <w:ind w:firstLine="645"/>
        <w:textAlignment w:val="auto"/>
        <w:rPr>
          <w:rFonts w:hint="eastAsia" w:ascii="仿宋_GB2312" w:hAnsi="宋体" w:eastAsia="仿宋_GB2312"/>
          <w:sz w:val="32"/>
        </w:rPr>
      </w:pPr>
      <w:r>
        <w:rPr>
          <w:rFonts w:hint="eastAsia" w:ascii="仿宋_GB2312" w:hAnsi="宋体" w:eastAsia="仿宋_GB2312"/>
          <w:sz w:val="32"/>
        </w:rPr>
        <w:t>（十）建立健全环境管理。加强环保设施运行维护和管理，制定严格的环境保护岗位责任制，确保污染治理设施稳定正常运行，</w:t>
      </w:r>
      <w:r>
        <w:rPr>
          <w:rFonts w:hint="eastAsia" w:eastAsia="仿宋_GB2312"/>
          <w:sz w:val="32"/>
        </w:rPr>
        <w:t>建立污染治理设施运行台账，</w:t>
      </w:r>
      <w:r>
        <w:rPr>
          <w:rFonts w:hint="eastAsia" w:ascii="仿宋_GB2312" w:hAnsi="宋体" w:eastAsia="仿宋_GB2312"/>
          <w:sz w:val="32"/>
        </w:rPr>
        <w:t>严禁擅自闲置、停用环保治理设施，杜绝事故性污染排放，确保各项污染物达标排放并符合总量控制指标的要求。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80"/>
        <w:textAlignment w:val="auto"/>
        <w:rPr>
          <w:rFonts w:hint="eastAsia" w:ascii="黑体" w:hAnsi="黑体" w:eastAsia="黑体"/>
          <w:sz w:val="32"/>
          <w:szCs w:val="32"/>
        </w:rPr>
      </w:pPr>
      <w:r>
        <w:rPr>
          <w:rFonts w:hint="eastAsia" w:ascii="黑体" w:hAnsi="黑体" w:eastAsia="黑体"/>
          <w:sz w:val="32"/>
          <w:szCs w:val="32"/>
        </w:rPr>
        <w:t>三、项目竣工验收的环保要求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80"/>
        <w:textAlignment w:val="auto"/>
        <w:rPr>
          <w:rFonts w:hint="eastAsia" w:ascii="仿宋_GB2312" w:hAnsi="宋体" w:eastAsia="仿宋_GB2312"/>
          <w:sz w:val="32"/>
        </w:rPr>
      </w:pPr>
      <w:r>
        <w:rPr>
          <w:rFonts w:hint="eastAsia" w:ascii="仿宋_GB2312" w:hAnsi="宋体" w:eastAsia="仿宋_GB2312"/>
          <w:sz w:val="32"/>
        </w:rPr>
        <w:t>项目建设必须严格执行环境保护设施与主体工程同时设计、同时施工、同时投入使用的环境保护“三同时”制度，落实各项环境保护措施。你公司应当按照相关规定要求，对配套建设的环境保护设施进行验收，编制验收报告，并依法向社会公开。你公司在环境保护设施验收过程中，应当如实查验、监测、记载建设项目环境保护设施的建设和调试情况，不得弄虚作假。</w:t>
      </w:r>
    </w:p>
    <w:p>
      <w:pPr>
        <w:keepNext w:val="0"/>
        <w:keepLines w:val="0"/>
        <w:pageBreakBefore w:val="0"/>
        <w:widowControl w:val="0"/>
        <w:kinsoku/>
        <w:wordWrap/>
        <w:overflowPunct/>
        <w:topLinePunct w:val="0"/>
        <w:autoSpaceDE/>
        <w:autoSpaceDN/>
        <w:bidi w:val="0"/>
        <w:adjustRightInd w:val="0"/>
        <w:snapToGrid w:val="0"/>
        <w:spacing w:line="600" w:lineRule="exact"/>
        <w:ind w:firstLine="680"/>
        <w:textAlignment w:val="auto"/>
        <w:rPr>
          <w:rFonts w:hint="eastAsia" w:ascii="黑体" w:hAnsi="黑体" w:eastAsia="黑体"/>
          <w:sz w:val="32"/>
          <w:szCs w:val="32"/>
        </w:rPr>
      </w:pPr>
      <w:r>
        <w:rPr>
          <w:rFonts w:hint="eastAsia" w:ascii="黑体" w:hAnsi="黑体" w:eastAsia="黑体"/>
          <w:sz w:val="32"/>
          <w:szCs w:val="32"/>
        </w:rPr>
        <w:t>四、其他环保要求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olor w:val="000000"/>
          <w:sz w:val="32"/>
          <w:szCs w:val="32"/>
        </w:rPr>
      </w:pPr>
      <w:r>
        <w:rPr>
          <w:rFonts w:hint="eastAsia" w:ascii="仿宋_GB2312" w:hAnsi="仿宋" w:eastAsia="仿宋_GB2312"/>
          <w:sz w:val="32"/>
          <w:szCs w:val="32"/>
        </w:rPr>
        <w:t>（一）</w:t>
      </w:r>
      <w:r>
        <w:rPr>
          <w:rFonts w:hint="eastAsia" w:ascii="仿宋_GB2312" w:eastAsia="仿宋_GB2312"/>
          <w:color w:val="000000"/>
          <w:sz w:val="32"/>
          <w:szCs w:val="32"/>
        </w:rPr>
        <w:t>重新办理环评审批要求。本次批复仅限于《报告</w:t>
      </w:r>
      <w:r>
        <w:rPr>
          <w:rFonts w:hint="eastAsia" w:ascii="仿宋_GB2312" w:eastAsia="仿宋_GB2312"/>
          <w:color w:val="000000"/>
          <w:sz w:val="32"/>
          <w:szCs w:val="32"/>
          <w:lang w:eastAsia="zh-CN"/>
        </w:rPr>
        <w:t>书</w:t>
      </w:r>
      <w:r>
        <w:rPr>
          <w:rFonts w:hint="eastAsia" w:ascii="仿宋_GB2312" w:eastAsia="仿宋_GB2312"/>
          <w:color w:val="000000"/>
          <w:sz w:val="32"/>
          <w:szCs w:val="32"/>
        </w:rPr>
        <w:t>》确定项目的内容，项目的性质、规模、地点或者防治污染、防止生态破坏的措施发生重大变动或审批后超过五年后动工建设的，应按照法律法规的规定，重新办理环评审批手续。</w:t>
      </w:r>
    </w:p>
    <w:p>
      <w:pPr>
        <w:keepNext w:val="0"/>
        <w:keepLines w:val="0"/>
        <w:pageBreakBefore w:val="0"/>
        <w:widowControl w:val="0"/>
        <w:kinsoku/>
        <w:wordWrap/>
        <w:overflowPunct/>
        <w:topLinePunct w:val="0"/>
        <w:autoSpaceDE/>
        <w:autoSpaceDN/>
        <w:bidi w:val="0"/>
        <w:spacing w:line="600" w:lineRule="exact"/>
        <w:ind w:firstLine="680"/>
        <w:jc w:val="left"/>
        <w:textAlignment w:val="auto"/>
        <w:rPr>
          <w:rFonts w:hint="eastAsia" w:ascii="仿宋_GB2312" w:hAnsi="宋体" w:eastAsia="仿宋_GB2312"/>
          <w:sz w:val="32"/>
        </w:rPr>
      </w:pPr>
      <w:r>
        <w:rPr>
          <w:rFonts w:hint="eastAsia" w:ascii="仿宋_GB2312" w:eastAsia="仿宋_GB2312"/>
          <w:color w:val="000000"/>
          <w:sz w:val="32"/>
          <w:szCs w:val="32"/>
        </w:rPr>
        <w:t>（二）项目监督管理要求。请</w:t>
      </w:r>
      <w:r>
        <w:rPr>
          <w:rFonts w:hint="eastAsia" w:ascii="仿宋_GB2312" w:eastAsia="仿宋_GB2312"/>
          <w:color w:val="000000"/>
          <w:sz w:val="32"/>
          <w:szCs w:val="32"/>
          <w:lang w:eastAsia="zh-CN"/>
        </w:rPr>
        <w:t>上饶市弋阳生态环境</w:t>
      </w:r>
      <w:r>
        <w:rPr>
          <w:rFonts w:hint="eastAsia" w:ascii="仿宋_GB2312" w:eastAsia="仿宋_GB2312"/>
          <w:color w:val="000000"/>
          <w:sz w:val="32"/>
          <w:szCs w:val="32"/>
        </w:rPr>
        <w:t>局加强本项目的日常监督管理。你公司应在收到本批复后20个工作日内，将批准后的环境影响报告</w:t>
      </w:r>
      <w:r>
        <w:rPr>
          <w:rFonts w:hint="eastAsia" w:ascii="仿宋_GB2312" w:eastAsia="仿宋_GB2312"/>
          <w:color w:val="000000"/>
          <w:sz w:val="32"/>
          <w:szCs w:val="32"/>
          <w:lang w:eastAsia="zh-CN"/>
        </w:rPr>
        <w:t>书</w:t>
      </w:r>
      <w:r>
        <w:rPr>
          <w:rFonts w:hint="eastAsia" w:ascii="仿宋_GB2312" w:eastAsia="仿宋_GB2312"/>
          <w:color w:val="000000"/>
          <w:sz w:val="32"/>
          <w:szCs w:val="32"/>
        </w:rPr>
        <w:t>及其批复送</w:t>
      </w:r>
      <w:r>
        <w:rPr>
          <w:rFonts w:hint="eastAsia" w:ascii="仿宋_GB2312" w:eastAsia="仿宋_GB2312"/>
          <w:color w:val="000000"/>
          <w:sz w:val="32"/>
          <w:szCs w:val="32"/>
          <w:lang w:eastAsia="zh-CN"/>
        </w:rPr>
        <w:t>上饶市弋阳生态环境</w:t>
      </w:r>
      <w:r>
        <w:rPr>
          <w:rFonts w:hint="eastAsia" w:ascii="仿宋_GB2312" w:eastAsia="仿宋_GB2312"/>
          <w:color w:val="000000"/>
          <w:sz w:val="32"/>
          <w:szCs w:val="32"/>
        </w:rPr>
        <w:t>局，并按规定接受各级环境保护行政主管部门的监督检查。</w:t>
      </w:r>
    </w:p>
    <w:p>
      <w:pPr>
        <w:spacing w:line="600" w:lineRule="exact"/>
        <w:ind w:firstLine="4800" w:firstLineChars="1500"/>
        <w:rPr>
          <w:rFonts w:hint="eastAsia" w:ascii="仿宋_GB2312" w:hAnsi="宋体" w:eastAsia="仿宋_GB2312"/>
          <w:sz w:val="32"/>
        </w:rPr>
      </w:pPr>
    </w:p>
    <w:p>
      <w:pPr>
        <w:pStyle w:val="2"/>
        <w:rPr>
          <w:rFonts w:hint="eastAsia"/>
        </w:rPr>
      </w:pPr>
    </w:p>
    <w:p>
      <w:pPr>
        <w:spacing w:line="600" w:lineRule="exact"/>
        <w:ind w:firstLine="4800" w:firstLineChars="1500"/>
        <w:rPr>
          <w:rFonts w:hint="eastAsia" w:ascii="仿宋_GB2312" w:hAnsi="宋体" w:eastAsia="仿宋_GB2312"/>
          <w:sz w:val="32"/>
        </w:rPr>
      </w:pPr>
      <w:r>
        <w:rPr>
          <w:rFonts w:hint="eastAsia" w:ascii="仿宋_GB2312" w:hAnsi="宋体" w:eastAsia="仿宋_GB2312"/>
          <w:sz w:val="32"/>
        </w:rPr>
        <w:t>20</w:t>
      </w:r>
      <w:r>
        <w:rPr>
          <w:rFonts w:hint="eastAsia" w:ascii="仿宋_GB2312" w:hAnsi="宋体" w:eastAsia="仿宋_GB2312"/>
          <w:sz w:val="32"/>
          <w:lang w:val="en-US" w:eastAsia="zh-CN"/>
        </w:rPr>
        <w:t>20</w:t>
      </w:r>
      <w:r>
        <w:rPr>
          <w:rFonts w:hint="eastAsia" w:ascii="仿宋_GB2312" w:hAnsi="宋体" w:eastAsia="仿宋_GB2312"/>
          <w:sz w:val="32"/>
        </w:rPr>
        <w:t>年</w:t>
      </w:r>
      <w:r>
        <w:rPr>
          <w:rFonts w:hint="eastAsia" w:ascii="仿宋_GB2312" w:hAnsi="宋体" w:eastAsia="仿宋_GB2312"/>
          <w:sz w:val="32"/>
          <w:lang w:val="en-US" w:eastAsia="zh-CN"/>
        </w:rPr>
        <w:t>4</w:t>
      </w:r>
      <w:r>
        <w:rPr>
          <w:rFonts w:hint="eastAsia" w:ascii="仿宋_GB2312" w:hAnsi="宋体" w:eastAsia="仿宋_GB2312"/>
          <w:sz w:val="32"/>
        </w:rPr>
        <w:t>月</w:t>
      </w:r>
      <w:r>
        <w:rPr>
          <w:rFonts w:hint="eastAsia" w:ascii="仿宋_GB2312" w:hAnsi="宋体" w:eastAsia="仿宋_GB2312"/>
          <w:sz w:val="32"/>
          <w:lang w:val="en-US" w:eastAsia="zh-CN"/>
        </w:rPr>
        <w:t>15</w:t>
      </w:r>
      <w:r>
        <w:rPr>
          <w:rFonts w:hint="eastAsia" w:ascii="仿宋_GB2312" w:hAnsi="宋体" w:eastAsia="仿宋_GB2312"/>
          <w:sz w:val="32"/>
        </w:rPr>
        <w:t>日</w:t>
      </w:r>
    </w:p>
    <w:p>
      <w:pPr>
        <w:spacing w:line="600" w:lineRule="exact"/>
        <w:rPr>
          <w:rFonts w:hint="eastAsia" w:ascii="仿宋_GB2312" w:hAnsi="宋体" w:eastAsia="仿宋_GB2312"/>
          <w:sz w:val="32"/>
        </w:rPr>
      </w:pPr>
      <w:r>
        <w:rPr>
          <w:rFonts w:hint="eastAsia" w:ascii="仿宋_GB2312" w:hAnsi="宋体" w:eastAsia="仿宋_GB2312"/>
          <w:sz w:val="32"/>
        </w:rPr>
        <w:t>（此件主动公开）</w:t>
      </w:r>
    </w:p>
    <w:p>
      <w:pPr>
        <w:spacing w:line="600" w:lineRule="exact"/>
        <w:rPr>
          <w:rFonts w:hint="eastAsia" w:ascii="仿宋_GB2312" w:hAnsi="宋体" w:eastAsia="仿宋_GB2312"/>
          <w:sz w:val="32"/>
        </w:rPr>
      </w:pPr>
    </w:p>
    <w:p>
      <w:pPr>
        <w:spacing w:line="600" w:lineRule="exact"/>
        <w:rPr>
          <w:rFonts w:hint="eastAsia" w:ascii="仿宋_GB2312" w:hAnsi="宋体" w:eastAsia="仿宋_GB2312"/>
          <w:sz w:val="32"/>
        </w:rPr>
      </w:pPr>
    </w:p>
    <w:p>
      <w:pPr>
        <w:spacing w:line="600" w:lineRule="exact"/>
        <w:rPr>
          <w:rFonts w:hint="eastAsia" w:ascii="仿宋_GB2312" w:hAnsi="宋体" w:eastAsia="仿宋_GB2312"/>
          <w:sz w:val="32"/>
        </w:rPr>
      </w:pPr>
    </w:p>
    <w:p>
      <w:pPr>
        <w:spacing w:line="600" w:lineRule="exact"/>
        <w:rPr>
          <w:rFonts w:hint="eastAsia" w:ascii="仿宋_GB2312" w:hAnsi="宋体" w:eastAsia="仿宋_GB2312"/>
          <w:sz w:val="32"/>
        </w:rPr>
      </w:pPr>
    </w:p>
    <w:p>
      <w:pPr>
        <w:pStyle w:val="2"/>
        <w:rPr>
          <w:rFonts w:hint="eastAsia" w:ascii="仿宋_GB2312" w:hAnsi="宋体" w:eastAsia="仿宋_GB2312"/>
          <w:sz w:val="32"/>
        </w:rPr>
      </w:pPr>
    </w:p>
    <w:p>
      <w:pPr>
        <w:rPr>
          <w:rFonts w:hint="eastAsia" w:ascii="仿宋_GB2312" w:hAnsi="宋体" w:eastAsia="仿宋_GB2312"/>
          <w:sz w:val="32"/>
        </w:rPr>
      </w:pPr>
    </w:p>
    <w:p>
      <w:pPr>
        <w:pStyle w:val="2"/>
        <w:rPr>
          <w:rFonts w:hint="eastAsia" w:ascii="仿宋_GB2312" w:hAnsi="宋体" w:eastAsia="仿宋_GB2312"/>
          <w:sz w:val="32"/>
        </w:rPr>
      </w:pPr>
    </w:p>
    <w:p>
      <w:pPr>
        <w:rPr>
          <w:rFonts w:hint="eastAsia" w:ascii="仿宋_GB2312" w:hAnsi="宋体" w:eastAsia="仿宋_GB2312"/>
          <w:sz w:val="32"/>
        </w:rPr>
      </w:pPr>
    </w:p>
    <w:p>
      <w:pPr>
        <w:pStyle w:val="2"/>
        <w:rPr>
          <w:rFonts w:hint="eastAsia" w:ascii="仿宋_GB2312" w:hAnsi="宋体" w:eastAsia="仿宋_GB2312"/>
          <w:sz w:val="32"/>
        </w:rPr>
      </w:pPr>
    </w:p>
    <w:p>
      <w:pPr>
        <w:rPr>
          <w:rFonts w:hint="eastAsia" w:ascii="仿宋_GB2312" w:hAnsi="宋体" w:eastAsia="仿宋_GB2312"/>
          <w:sz w:val="32"/>
        </w:rPr>
      </w:pPr>
    </w:p>
    <w:p>
      <w:pPr>
        <w:pStyle w:val="2"/>
        <w:rPr>
          <w:rFonts w:hint="eastAsia" w:ascii="仿宋_GB2312" w:hAnsi="宋体" w:eastAsia="仿宋_GB2312"/>
          <w:sz w:val="32"/>
        </w:rPr>
      </w:pPr>
    </w:p>
    <w:p>
      <w:pPr>
        <w:rPr>
          <w:rFonts w:hint="eastAsia" w:ascii="仿宋_GB2312" w:hAnsi="宋体" w:eastAsia="仿宋_GB2312"/>
          <w:sz w:val="32"/>
        </w:rPr>
      </w:pPr>
    </w:p>
    <w:p>
      <w:pPr>
        <w:pStyle w:val="2"/>
        <w:rPr>
          <w:rFonts w:hint="eastAsia"/>
        </w:rPr>
      </w:pPr>
    </w:p>
    <w:p>
      <w:pPr>
        <w:spacing w:line="600" w:lineRule="exact"/>
        <w:rPr>
          <w:rFonts w:hint="eastAsia" w:ascii="仿宋_GB2312" w:hAnsi="宋体" w:eastAsia="仿宋_GB2312"/>
          <w:sz w:val="32"/>
        </w:rPr>
      </w:pPr>
    </w:p>
    <w:p>
      <w:pPr>
        <w:spacing w:line="600" w:lineRule="exact"/>
        <w:rPr>
          <w:rFonts w:hint="eastAsia" w:ascii="仿宋_GB2312" w:hAnsi="宋体" w:eastAsia="仿宋_GB2312"/>
          <w:sz w:val="32"/>
        </w:rPr>
      </w:pPr>
    </w:p>
    <w:p>
      <w:pPr>
        <w:spacing w:line="600" w:lineRule="exact"/>
        <w:ind w:left="841" w:leftChars="67" w:hanging="700" w:hangingChars="250"/>
        <w:rPr>
          <w:rFonts w:hint="eastAsia" w:ascii="仿宋_GB2312" w:hAnsi="宋体" w:eastAsia="仿宋_GB2312"/>
          <w:sz w:val="28"/>
          <w:szCs w:val="28"/>
        </w:rPr>
      </w:pPr>
      <w:r>
        <w:rPr>
          <w:rFonts w:ascii="仿宋_GB2312" w:hAnsi="宋体"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257800" cy="0"/>
                <wp:effectExtent l="0" t="0" r="0" b="0"/>
                <wp:wrapNone/>
                <wp:docPr id="1" name="Line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pt;margin-top:0pt;height:0pt;width:414pt;z-index:251658240;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lhV/3QAAAAAgEAAA8AAAAAAAAAAQAgAAAAIgAAAGRycy9kb3ducmV2LnhtbFBLAQIUABQA&#10;AAAIAIdO4kBFBrirvwEAAIsDAAAOAAAAAAAAAAEAIAAAAB8BAABkcnMvZTJvRG9jLnhtbFBLBQYA&#10;AAAABgAGAFkBAABQBQAAAAA=&#10;">
                <v:fill on="f" focussize="0,0"/>
                <v:stroke color="#000000" joinstyle="round"/>
                <v:imagedata o:title=""/>
                <o:lock v:ext="edit" aspectratio="f"/>
              </v:line>
            </w:pict>
          </mc:Fallback>
        </mc:AlternateContent>
      </w:r>
      <w:r>
        <w:rPr>
          <w:rFonts w:hint="eastAsia" w:ascii="仿宋_GB2312" w:hAnsi="宋体" w:eastAsia="仿宋_GB2312"/>
          <w:sz w:val="28"/>
          <w:szCs w:val="28"/>
        </w:rPr>
        <w:t>抄送：</w:t>
      </w:r>
      <w:r>
        <w:rPr>
          <w:rFonts w:hint="eastAsia" w:ascii="仿宋_GB2312" w:hAnsi="宋体" w:eastAsia="仿宋_GB2312"/>
          <w:sz w:val="28"/>
          <w:szCs w:val="28"/>
          <w:lang w:eastAsia="zh-CN"/>
        </w:rPr>
        <w:t>弋阳</w:t>
      </w:r>
      <w:r>
        <w:rPr>
          <w:rFonts w:hint="eastAsia" w:ascii="仿宋_GB2312" w:hAnsi="宋体" w:eastAsia="仿宋_GB2312"/>
          <w:sz w:val="28"/>
          <w:szCs w:val="28"/>
        </w:rPr>
        <w:t>县政府，</w:t>
      </w:r>
      <w:r>
        <w:rPr>
          <w:rFonts w:hint="eastAsia" w:ascii="仿宋_GB2312" w:hAnsi="宋体" w:eastAsia="仿宋_GB2312"/>
          <w:sz w:val="28"/>
          <w:szCs w:val="28"/>
          <w:lang w:eastAsia="zh-CN"/>
        </w:rPr>
        <w:t>上饶市弋阳生态环境</w:t>
      </w:r>
      <w:r>
        <w:rPr>
          <w:rFonts w:hint="eastAsia" w:ascii="仿宋_GB2312" w:hAnsi="宋体" w:eastAsia="仿宋_GB2312"/>
          <w:sz w:val="28"/>
          <w:szCs w:val="28"/>
        </w:rPr>
        <w:t>局，上饶市生态环境保护综合执法支队，</w:t>
      </w:r>
      <w:r>
        <w:rPr>
          <w:rFonts w:hint="eastAsia" w:ascii="仿宋_GB2312" w:hAnsi="宋体" w:eastAsia="仿宋_GB2312"/>
          <w:sz w:val="28"/>
          <w:szCs w:val="28"/>
          <w:lang w:eastAsia="zh-CN"/>
        </w:rPr>
        <w:t>江西融大环境</w:t>
      </w:r>
      <w:r>
        <w:rPr>
          <w:rFonts w:hint="eastAsia" w:ascii="仿宋_GB2312" w:hAnsi="宋体" w:eastAsia="仿宋_GB2312"/>
          <w:sz w:val="28"/>
          <w:szCs w:val="28"/>
        </w:rPr>
        <w:t>技术咨询有限公司。</w:t>
      </w:r>
    </w:p>
    <w:p>
      <w:pPr>
        <w:spacing w:line="600" w:lineRule="exact"/>
        <w:ind w:firstLine="140" w:firstLineChars="50"/>
      </w:pPr>
      <w:r>
        <w:rPr>
          <w:rFonts w:ascii="仿宋_GB2312" w:hAnsi="宋体"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396240</wp:posOffset>
                </wp:positionV>
                <wp:extent cx="5257800" cy="0"/>
                <wp:effectExtent l="0" t="0" r="0" b="0"/>
                <wp:wrapNone/>
                <wp:docPr id="3" name="Line 4"/>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pt;margin-top:31.2pt;height:0pt;width:414pt;z-index:251660288;mso-width-relative:page;mso-height-relative:page;" filled="f" stroked="t" coordsize="21600,21600" o:gfxdata="UEsDBAoAAAAAAIdO4kAAAAAAAAAAAAAAAAAEAAAAZHJzL1BLAwQUAAAACACHTuJAPmx/cd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mx/cdMAAAAGAQAADwAAAAAAAAABACAAAAAiAAAAZHJzL2Rvd25yZXYueG1sUEsB&#10;AhQAFAAAAAgAh07iQGTQRGTBAQAAiwMAAA4AAAAAAAAAAQAgAAAAIgEAAGRycy9lMm9Eb2MueG1s&#10;UEsFBgAAAAAGAAYAWQEAAFUFAAAAAA==&#10;">
                <v:fill on="f" focussize="0,0"/>
                <v:stroke color="#000000" joinstyle="round"/>
                <v:imagedata o:title=""/>
                <o:lock v:ext="edit" aspectratio="f"/>
              </v:line>
            </w:pict>
          </mc:Fallback>
        </mc:AlternateContent>
      </w:r>
      <w:r>
        <w:rPr>
          <w:rFonts w:ascii="仿宋_GB2312" w:hAnsi="宋体"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0"/>
                <wp:effectExtent l="0" t="0" r="0" b="0"/>
                <wp:wrapNone/>
                <wp:docPr id="2" name="Line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pt;margin-top:0pt;height:0pt;width:414pt;z-index:251659264;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JYVf90AAAAAIBAAAPAAAAAAAAAAEAIAAAACIAAABkcnMvZG93bnJldi54bWxQSwECFAAU&#10;AAAACACHTuJArD3nmsABAACLAwAADgAAAAAAAAABACAAAAAfAQAAZHJzL2Uyb0RvYy54bWxQSwUG&#10;AAAAAAYABgBZAQAAUQUAAAAA&#10;">
                <v:fill on="f" focussize="0,0"/>
                <v:stroke color="#000000" joinstyle="round"/>
                <v:imagedata o:title=""/>
                <o:lock v:ext="edit" aspectratio="f"/>
              </v:line>
            </w:pict>
          </mc:Fallback>
        </mc:AlternateContent>
      </w:r>
      <w:r>
        <w:rPr>
          <w:rFonts w:hint="eastAsia" w:ascii="仿宋_GB2312" w:hAnsi="宋体" w:eastAsia="仿宋_GB2312"/>
          <w:sz w:val="28"/>
          <w:szCs w:val="28"/>
        </w:rPr>
        <w:t>上饶市</w:t>
      </w:r>
      <w:r>
        <w:rPr>
          <w:rFonts w:hint="eastAsia" w:ascii="仿宋_GB2312" w:hAnsi="宋体" w:eastAsia="仿宋_GB2312"/>
          <w:sz w:val="28"/>
          <w:szCs w:val="28"/>
          <w:lang w:eastAsia="zh-CN"/>
        </w:rPr>
        <w:t>生态环境</w:t>
      </w:r>
      <w:r>
        <w:rPr>
          <w:rFonts w:hint="eastAsia" w:ascii="仿宋_GB2312" w:hAnsi="宋体" w:eastAsia="仿宋_GB2312"/>
          <w:sz w:val="28"/>
          <w:szCs w:val="28"/>
        </w:rPr>
        <w:t>局办公室                20</w:t>
      </w:r>
      <w:r>
        <w:rPr>
          <w:rFonts w:hint="eastAsia" w:ascii="仿宋_GB2312" w:hAnsi="宋体" w:eastAsia="仿宋_GB2312"/>
          <w:sz w:val="28"/>
          <w:szCs w:val="28"/>
          <w:lang w:val="en-US" w:eastAsia="zh-CN"/>
        </w:rPr>
        <w:t>20</w:t>
      </w:r>
      <w:r>
        <w:rPr>
          <w:rFonts w:hint="eastAsia" w:ascii="仿宋_GB2312" w:hAnsi="宋体" w:eastAsia="仿宋_GB2312"/>
          <w:sz w:val="28"/>
          <w:szCs w:val="28"/>
        </w:rPr>
        <w:t>年</w:t>
      </w:r>
      <w:r>
        <w:rPr>
          <w:rFonts w:hint="eastAsia" w:ascii="仿宋_GB2312" w:hAnsi="宋体" w:eastAsia="仿宋_GB2312"/>
          <w:sz w:val="28"/>
          <w:szCs w:val="28"/>
          <w:lang w:val="en-US" w:eastAsia="zh-CN"/>
        </w:rPr>
        <w:t>4</w:t>
      </w:r>
      <w:r>
        <w:rPr>
          <w:rFonts w:hint="eastAsia" w:ascii="仿宋_GB2312" w:hAnsi="宋体" w:eastAsia="仿宋_GB2312"/>
          <w:sz w:val="28"/>
          <w:szCs w:val="28"/>
        </w:rPr>
        <w:t>月</w:t>
      </w:r>
      <w:r>
        <w:rPr>
          <w:rFonts w:hint="eastAsia" w:ascii="仿宋_GB2312" w:hAnsi="宋体" w:eastAsia="仿宋_GB2312"/>
          <w:sz w:val="28"/>
          <w:szCs w:val="28"/>
          <w:lang w:val="en-US" w:eastAsia="zh-CN"/>
        </w:rPr>
        <w:t>15</w:t>
      </w:r>
      <w:r>
        <w:rPr>
          <w:rFonts w:hint="eastAsia" w:ascii="仿宋_GB2312" w:hAnsi="宋体" w:eastAsia="仿宋_GB2312"/>
          <w:sz w:val="28"/>
          <w:szCs w:val="28"/>
        </w:rPr>
        <w:t xml:space="preserve">日印发 </w:t>
      </w:r>
    </w:p>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宋体" w:hAnsi="宋体"/>
        <w:sz w:val="28"/>
        <w:szCs w:val="28"/>
      </w:rPr>
      <w:tab/>
    </w:r>
    <w:r>
      <w:rPr>
        <w:rFonts w:hint="eastAsia" w:ascii="宋体" w:hAnsi="宋体"/>
        <w:sz w:val="28"/>
        <w:szCs w:val="28"/>
      </w:rPr>
      <w:t xml:space="preserve">                                                </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7</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宋体" w:hAnsi="宋体"/>
        <w:sz w:val="28"/>
        <w:szCs w:val="28"/>
      </w:rPr>
    </w:pPr>
    <w:r>
      <w:rPr>
        <w:rFonts w:ascii="宋体" w:hAnsi="宋体"/>
        <w:sz w:val="28"/>
        <w:szCs w:val="28"/>
      </w:rPr>
      <w:tab/>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6</w:t>
    </w:r>
    <w:r>
      <w:rPr>
        <w:rFonts w:ascii="宋体" w:hAnsi="宋体"/>
        <w:sz w:val="28"/>
        <w:szCs w:val="28"/>
      </w:rPr>
      <w:fldChar w:fldCharType="end"/>
    </w:r>
    <w:r>
      <w:rPr>
        <w:rFonts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970E3"/>
    <w:multiLevelType w:val="singleLevel"/>
    <w:tmpl w:val="53E970E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0" w:hash="sQutpInTlgjwomvT1lwupMbv19w=" w:salt="RwhyINPSDyNhbbKV2rdghg=="/>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C0"/>
    <w:rsid w:val="00004E50"/>
    <w:rsid w:val="00006B71"/>
    <w:rsid w:val="000124DE"/>
    <w:rsid w:val="00016109"/>
    <w:rsid w:val="00017834"/>
    <w:rsid w:val="00023B0F"/>
    <w:rsid w:val="00043BB0"/>
    <w:rsid w:val="00047551"/>
    <w:rsid w:val="00051B21"/>
    <w:rsid w:val="0005240C"/>
    <w:rsid w:val="0005352A"/>
    <w:rsid w:val="000543B2"/>
    <w:rsid w:val="000552D9"/>
    <w:rsid w:val="0006153C"/>
    <w:rsid w:val="000643A2"/>
    <w:rsid w:val="000716E3"/>
    <w:rsid w:val="0007717C"/>
    <w:rsid w:val="0008359F"/>
    <w:rsid w:val="0008726A"/>
    <w:rsid w:val="00093F1F"/>
    <w:rsid w:val="00095AF8"/>
    <w:rsid w:val="00097A0D"/>
    <w:rsid w:val="000A3C88"/>
    <w:rsid w:val="000A3CFA"/>
    <w:rsid w:val="000B6DE9"/>
    <w:rsid w:val="000C1701"/>
    <w:rsid w:val="000C4928"/>
    <w:rsid w:val="000C583D"/>
    <w:rsid w:val="000D11CC"/>
    <w:rsid w:val="000D2410"/>
    <w:rsid w:val="000D2D76"/>
    <w:rsid w:val="000D3508"/>
    <w:rsid w:val="000D59A7"/>
    <w:rsid w:val="000D78ED"/>
    <w:rsid w:val="000E0664"/>
    <w:rsid w:val="000E32B9"/>
    <w:rsid w:val="000F0F63"/>
    <w:rsid w:val="000F67E1"/>
    <w:rsid w:val="00104D25"/>
    <w:rsid w:val="001106BE"/>
    <w:rsid w:val="00110A70"/>
    <w:rsid w:val="001112C2"/>
    <w:rsid w:val="00113723"/>
    <w:rsid w:val="00113901"/>
    <w:rsid w:val="00113C09"/>
    <w:rsid w:val="00120620"/>
    <w:rsid w:val="001213CD"/>
    <w:rsid w:val="00124E8C"/>
    <w:rsid w:val="00126120"/>
    <w:rsid w:val="001339D0"/>
    <w:rsid w:val="00135F47"/>
    <w:rsid w:val="00142AEC"/>
    <w:rsid w:val="00154B16"/>
    <w:rsid w:val="001600AE"/>
    <w:rsid w:val="001627AD"/>
    <w:rsid w:val="00165C63"/>
    <w:rsid w:val="0017232B"/>
    <w:rsid w:val="00174220"/>
    <w:rsid w:val="00174B9A"/>
    <w:rsid w:val="00177147"/>
    <w:rsid w:val="00186EBA"/>
    <w:rsid w:val="00190125"/>
    <w:rsid w:val="00194036"/>
    <w:rsid w:val="001942F6"/>
    <w:rsid w:val="001944A3"/>
    <w:rsid w:val="00195B32"/>
    <w:rsid w:val="001A095B"/>
    <w:rsid w:val="001A3201"/>
    <w:rsid w:val="001B640D"/>
    <w:rsid w:val="001B7ABA"/>
    <w:rsid w:val="001C019E"/>
    <w:rsid w:val="001C099E"/>
    <w:rsid w:val="001C2A52"/>
    <w:rsid w:val="001D10F5"/>
    <w:rsid w:val="001D4F8C"/>
    <w:rsid w:val="001D79ED"/>
    <w:rsid w:val="001E2875"/>
    <w:rsid w:val="001E2F9E"/>
    <w:rsid w:val="001E3500"/>
    <w:rsid w:val="001E765C"/>
    <w:rsid w:val="001E79BB"/>
    <w:rsid w:val="001F0962"/>
    <w:rsid w:val="001F4611"/>
    <w:rsid w:val="001F7694"/>
    <w:rsid w:val="002001F3"/>
    <w:rsid w:val="00203F5A"/>
    <w:rsid w:val="00207F35"/>
    <w:rsid w:val="00212099"/>
    <w:rsid w:val="00212B49"/>
    <w:rsid w:val="00213951"/>
    <w:rsid w:val="002230E5"/>
    <w:rsid w:val="00226192"/>
    <w:rsid w:val="00226AA3"/>
    <w:rsid w:val="00227A81"/>
    <w:rsid w:val="0023214F"/>
    <w:rsid w:val="0024002D"/>
    <w:rsid w:val="00244A63"/>
    <w:rsid w:val="00252AC6"/>
    <w:rsid w:val="002550E8"/>
    <w:rsid w:val="00260595"/>
    <w:rsid w:val="002616AF"/>
    <w:rsid w:val="00281D02"/>
    <w:rsid w:val="00296B96"/>
    <w:rsid w:val="002A12F8"/>
    <w:rsid w:val="002A5C2C"/>
    <w:rsid w:val="002B4200"/>
    <w:rsid w:val="002B7764"/>
    <w:rsid w:val="002B7A7E"/>
    <w:rsid w:val="002D29F0"/>
    <w:rsid w:val="002E3A21"/>
    <w:rsid w:val="002E6AAE"/>
    <w:rsid w:val="002F1792"/>
    <w:rsid w:val="002F2EDB"/>
    <w:rsid w:val="002F31DF"/>
    <w:rsid w:val="002F6298"/>
    <w:rsid w:val="00301F58"/>
    <w:rsid w:val="00302167"/>
    <w:rsid w:val="00303817"/>
    <w:rsid w:val="00305222"/>
    <w:rsid w:val="00305F3C"/>
    <w:rsid w:val="003102A1"/>
    <w:rsid w:val="00314B11"/>
    <w:rsid w:val="003158F3"/>
    <w:rsid w:val="00322C8F"/>
    <w:rsid w:val="00324F7F"/>
    <w:rsid w:val="00330288"/>
    <w:rsid w:val="00333DB5"/>
    <w:rsid w:val="00336674"/>
    <w:rsid w:val="00345F4E"/>
    <w:rsid w:val="00350232"/>
    <w:rsid w:val="003537D5"/>
    <w:rsid w:val="00356272"/>
    <w:rsid w:val="0036244D"/>
    <w:rsid w:val="00371560"/>
    <w:rsid w:val="00372FF8"/>
    <w:rsid w:val="00382063"/>
    <w:rsid w:val="00395A05"/>
    <w:rsid w:val="00395B5F"/>
    <w:rsid w:val="00397228"/>
    <w:rsid w:val="00397E76"/>
    <w:rsid w:val="003A1C1F"/>
    <w:rsid w:val="003A28CF"/>
    <w:rsid w:val="003A2F49"/>
    <w:rsid w:val="003A3648"/>
    <w:rsid w:val="003A3997"/>
    <w:rsid w:val="003A4188"/>
    <w:rsid w:val="003A53B8"/>
    <w:rsid w:val="003A62CA"/>
    <w:rsid w:val="003A7447"/>
    <w:rsid w:val="003B014D"/>
    <w:rsid w:val="003B1248"/>
    <w:rsid w:val="003B523D"/>
    <w:rsid w:val="003B5702"/>
    <w:rsid w:val="003C0FED"/>
    <w:rsid w:val="003C36E2"/>
    <w:rsid w:val="003D3C21"/>
    <w:rsid w:val="003E02AF"/>
    <w:rsid w:val="003E5F61"/>
    <w:rsid w:val="003E72FD"/>
    <w:rsid w:val="003E7E23"/>
    <w:rsid w:val="003F5469"/>
    <w:rsid w:val="00405760"/>
    <w:rsid w:val="00407D80"/>
    <w:rsid w:val="0041110B"/>
    <w:rsid w:val="0041548E"/>
    <w:rsid w:val="004167D9"/>
    <w:rsid w:val="00420FEF"/>
    <w:rsid w:val="004244B2"/>
    <w:rsid w:val="004261A8"/>
    <w:rsid w:val="00430E29"/>
    <w:rsid w:val="00442C00"/>
    <w:rsid w:val="004470CD"/>
    <w:rsid w:val="004613D0"/>
    <w:rsid w:val="00461ABB"/>
    <w:rsid w:val="00462C9E"/>
    <w:rsid w:val="004634F6"/>
    <w:rsid w:val="00471A1A"/>
    <w:rsid w:val="0049296D"/>
    <w:rsid w:val="0049297D"/>
    <w:rsid w:val="00496078"/>
    <w:rsid w:val="004A3F06"/>
    <w:rsid w:val="004A4ABD"/>
    <w:rsid w:val="004A6CB9"/>
    <w:rsid w:val="004B1C93"/>
    <w:rsid w:val="004B577E"/>
    <w:rsid w:val="004C40AC"/>
    <w:rsid w:val="004C557E"/>
    <w:rsid w:val="004C6532"/>
    <w:rsid w:val="004C7CD9"/>
    <w:rsid w:val="004D2FBD"/>
    <w:rsid w:val="004E20D2"/>
    <w:rsid w:val="004E2454"/>
    <w:rsid w:val="004E38F0"/>
    <w:rsid w:val="004E6057"/>
    <w:rsid w:val="004F1485"/>
    <w:rsid w:val="005003FF"/>
    <w:rsid w:val="00504FEE"/>
    <w:rsid w:val="005059B9"/>
    <w:rsid w:val="00505F6C"/>
    <w:rsid w:val="005100C7"/>
    <w:rsid w:val="00517B5B"/>
    <w:rsid w:val="00520F85"/>
    <w:rsid w:val="00523907"/>
    <w:rsid w:val="0052489B"/>
    <w:rsid w:val="00535EE6"/>
    <w:rsid w:val="00540C47"/>
    <w:rsid w:val="005425FE"/>
    <w:rsid w:val="00542BE0"/>
    <w:rsid w:val="0054411C"/>
    <w:rsid w:val="0054430B"/>
    <w:rsid w:val="005510D1"/>
    <w:rsid w:val="00562BA6"/>
    <w:rsid w:val="00562D6E"/>
    <w:rsid w:val="00564555"/>
    <w:rsid w:val="00566316"/>
    <w:rsid w:val="005738D0"/>
    <w:rsid w:val="0058207F"/>
    <w:rsid w:val="0058642D"/>
    <w:rsid w:val="005906A6"/>
    <w:rsid w:val="00593E8B"/>
    <w:rsid w:val="005A48CD"/>
    <w:rsid w:val="005A5DF0"/>
    <w:rsid w:val="005B7C9A"/>
    <w:rsid w:val="005C1E14"/>
    <w:rsid w:val="005C25D0"/>
    <w:rsid w:val="005D520D"/>
    <w:rsid w:val="005D6816"/>
    <w:rsid w:val="005E043C"/>
    <w:rsid w:val="005E07D6"/>
    <w:rsid w:val="005E0A22"/>
    <w:rsid w:val="005E146C"/>
    <w:rsid w:val="005E14F0"/>
    <w:rsid w:val="005F4E85"/>
    <w:rsid w:val="005F5E87"/>
    <w:rsid w:val="005F6893"/>
    <w:rsid w:val="005F6894"/>
    <w:rsid w:val="00604D84"/>
    <w:rsid w:val="00610D2C"/>
    <w:rsid w:val="0061483E"/>
    <w:rsid w:val="006148A2"/>
    <w:rsid w:val="0062480C"/>
    <w:rsid w:val="00634BC1"/>
    <w:rsid w:val="00640146"/>
    <w:rsid w:val="00640ECC"/>
    <w:rsid w:val="00645928"/>
    <w:rsid w:val="006546FD"/>
    <w:rsid w:val="00662E97"/>
    <w:rsid w:val="00664BA8"/>
    <w:rsid w:val="006675E9"/>
    <w:rsid w:val="00667FDA"/>
    <w:rsid w:val="00670911"/>
    <w:rsid w:val="00671C90"/>
    <w:rsid w:val="00672D68"/>
    <w:rsid w:val="006739EC"/>
    <w:rsid w:val="00676027"/>
    <w:rsid w:val="00696AA9"/>
    <w:rsid w:val="006A5380"/>
    <w:rsid w:val="006A6B9D"/>
    <w:rsid w:val="006B20DA"/>
    <w:rsid w:val="006B5F5B"/>
    <w:rsid w:val="006C04E3"/>
    <w:rsid w:val="006C0601"/>
    <w:rsid w:val="006C480F"/>
    <w:rsid w:val="006C689C"/>
    <w:rsid w:val="006D1990"/>
    <w:rsid w:val="006D719A"/>
    <w:rsid w:val="006E728A"/>
    <w:rsid w:val="006F1D6A"/>
    <w:rsid w:val="006F4E5C"/>
    <w:rsid w:val="007006E4"/>
    <w:rsid w:val="007019D1"/>
    <w:rsid w:val="0071073D"/>
    <w:rsid w:val="007126C9"/>
    <w:rsid w:val="00713FCD"/>
    <w:rsid w:val="00715358"/>
    <w:rsid w:val="00727D06"/>
    <w:rsid w:val="007303AD"/>
    <w:rsid w:val="0073376F"/>
    <w:rsid w:val="00735D65"/>
    <w:rsid w:val="00735F51"/>
    <w:rsid w:val="00740023"/>
    <w:rsid w:val="0074466D"/>
    <w:rsid w:val="00746B4E"/>
    <w:rsid w:val="0075107B"/>
    <w:rsid w:val="00751D9A"/>
    <w:rsid w:val="00752680"/>
    <w:rsid w:val="00754F62"/>
    <w:rsid w:val="007565C8"/>
    <w:rsid w:val="00756C8A"/>
    <w:rsid w:val="00757451"/>
    <w:rsid w:val="0076424A"/>
    <w:rsid w:val="00774045"/>
    <w:rsid w:val="007802B3"/>
    <w:rsid w:val="0078163C"/>
    <w:rsid w:val="007821E9"/>
    <w:rsid w:val="0078367D"/>
    <w:rsid w:val="00793101"/>
    <w:rsid w:val="007A0C3B"/>
    <w:rsid w:val="007A3723"/>
    <w:rsid w:val="007A5A4F"/>
    <w:rsid w:val="007B0D0A"/>
    <w:rsid w:val="007B6F41"/>
    <w:rsid w:val="007C0E6D"/>
    <w:rsid w:val="007D185E"/>
    <w:rsid w:val="007D2118"/>
    <w:rsid w:val="007E5308"/>
    <w:rsid w:val="007F2E1C"/>
    <w:rsid w:val="007F4470"/>
    <w:rsid w:val="008074F9"/>
    <w:rsid w:val="00811B22"/>
    <w:rsid w:val="00816C2D"/>
    <w:rsid w:val="008212E4"/>
    <w:rsid w:val="008216E8"/>
    <w:rsid w:val="008229F1"/>
    <w:rsid w:val="00824154"/>
    <w:rsid w:val="00833A79"/>
    <w:rsid w:val="0083739C"/>
    <w:rsid w:val="00851D1B"/>
    <w:rsid w:val="00854046"/>
    <w:rsid w:val="00854F5E"/>
    <w:rsid w:val="008564FB"/>
    <w:rsid w:val="00857740"/>
    <w:rsid w:val="00860BC6"/>
    <w:rsid w:val="00862B3E"/>
    <w:rsid w:val="0086460A"/>
    <w:rsid w:val="00866B92"/>
    <w:rsid w:val="00870B5F"/>
    <w:rsid w:val="00872477"/>
    <w:rsid w:val="0088334F"/>
    <w:rsid w:val="00892C02"/>
    <w:rsid w:val="00894364"/>
    <w:rsid w:val="008960EA"/>
    <w:rsid w:val="0089620E"/>
    <w:rsid w:val="00896C1F"/>
    <w:rsid w:val="008A6CBF"/>
    <w:rsid w:val="008B2EB3"/>
    <w:rsid w:val="008C316F"/>
    <w:rsid w:val="008C72CC"/>
    <w:rsid w:val="008D0D21"/>
    <w:rsid w:val="008D48EA"/>
    <w:rsid w:val="008D7B3C"/>
    <w:rsid w:val="008D7EAB"/>
    <w:rsid w:val="008E024B"/>
    <w:rsid w:val="008E4F22"/>
    <w:rsid w:val="008F0D3F"/>
    <w:rsid w:val="008F25A0"/>
    <w:rsid w:val="008F3784"/>
    <w:rsid w:val="008F479F"/>
    <w:rsid w:val="008F611B"/>
    <w:rsid w:val="00900BE4"/>
    <w:rsid w:val="00901999"/>
    <w:rsid w:val="00903767"/>
    <w:rsid w:val="0090639F"/>
    <w:rsid w:val="00907F10"/>
    <w:rsid w:val="00920913"/>
    <w:rsid w:val="00920BF9"/>
    <w:rsid w:val="00933970"/>
    <w:rsid w:val="00933F9E"/>
    <w:rsid w:val="00935911"/>
    <w:rsid w:val="00935FCA"/>
    <w:rsid w:val="00937BBE"/>
    <w:rsid w:val="009401C3"/>
    <w:rsid w:val="00940A75"/>
    <w:rsid w:val="00950FC9"/>
    <w:rsid w:val="0095516C"/>
    <w:rsid w:val="009821C9"/>
    <w:rsid w:val="00982D71"/>
    <w:rsid w:val="00986103"/>
    <w:rsid w:val="00990C09"/>
    <w:rsid w:val="00991A94"/>
    <w:rsid w:val="00995DA4"/>
    <w:rsid w:val="00997551"/>
    <w:rsid w:val="00997A07"/>
    <w:rsid w:val="009A5B58"/>
    <w:rsid w:val="009B5718"/>
    <w:rsid w:val="009B587F"/>
    <w:rsid w:val="009C4E98"/>
    <w:rsid w:val="009C5489"/>
    <w:rsid w:val="009D0948"/>
    <w:rsid w:val="009D1C89"/>
    <w:rsid w:val="009D2883"/>
    <w:rsid w:val="009D5670"/>
    <w:rsid w:val="009D7AFC"/>
    <w:rsid w:val="009E7CB1"/>
    <w:rsid w:val="009F20A0"/>
    <w:rsid w:val="009F4786"/>
    <w:rsid w:val="009F74D4"/>
    <w:rsid w:val="00A045A9"/>
    <w:rsid w:val="00A04FF0"/>
    <w:rsid w:val="00A052EF"/>
    <w:rsid w:val="00A079EE"/>
    <w:rsid w:val="00A12E81"/>
    <w:rsid w:val="00A15A1A"/>
    <w:rsid w:val="00A21C67"/>
    <w:rsid w:val="00A22E2A"/>
    <w:rsid w:val="00A242BD"/>
    <w:rsid w:val="00A31F0F"/>
    <w:rsid w:val="00A3260C"/>
    <w:rsid w:val="00A32803"/>
    <w:rsid w:val="00A3281C"/>
    <w:rsid w:val="00A32CD8"/>
    <w:rsid w:val="00A32E7E"/>
    <w:rsid w:val="00A50728"/>
    <w:rsid w:val="00A50C46"/>
    <w:rsid w:val="00A614FE"/>
    <w:rsid w:val="00A637E4"/>
    <w:rsid w:val="00A645EC"/>
    <w:rsid w:val="00A64820"/>
    <w:rsid w:val="00A64DFD"/>
    <w:rsid w:val="00A740F0"/>
    <w:rsid w:val="00A75174"/>
    <w:rsid w:val="00A75863"/>
    <w:rsid w:val="00A77130"/>
    <w:rsid w:val="00A8552F"/>
    <w:rsid w:val="00A8693F"/>
    <w:rsid w:val="00A9195C"/>
    <w:rsid w:val="00A941E3"/>
    <w:rsid w:val="00AA7FB2"/>
    <w:rsid w:val="00AB0C0B"/>
    <w:rsid w:val="00AB3BBE"/>
    <w:rsid w:val="00AB4B2F"/>
    <w:rsid w:val="00AB65DF"/>
    <w:rsid w:val="00AC0BC0"/>
    <w:rsid w:val="00AC39C6"/>
    <w:rsid w:val="00AC4E65"/>
    <w:rsid w:val="00AD0BEC"/>
    <w:rsid w:val="00AD1B54"/>
    <w:rsid w:val="00AD2372"/>
    <w:rsid w:val="00AD35A3"/>
    <w:rsid w:val="00AD63B0"/>
    <w:rsid w:val="00AE1015"/>
    <w:rsid w:val="00AE1216"/>
    <w:rsid w:val="00AE4126"/>
    <w:rsid w:val="00AE4133"/>
    <w:rsid w:val="00AE5B3F"/>
    <w:rsid w:val="00AF44AC"/>
    <w:rsid w:val="00AF72FF"/>
    <w:rsid w:val="00B03637"/>
    <w:rsid w:val="00B03F0F"/>
    <w:rsid w:val="00B050B0"/>
    <w:rsid w:val="00B121EF"/>
    <w:rsid w:val="00B1439C"/>
    <w:rsid w:val="00B215F0"/>
    <w:rsid w:val="00B21EAA"/>
    <w:rsid w:val="00B27CEE"/>
    <w:rsid w:val="00B30F1F"/>
    <w:rsid w:val="00B34E8D"/>
    <w:rsid w:val="00B35F57"/>
    <w:rsid w:val="00B36523"/>
    <w:rsid w:val="00B36F94"/>
    <w:rsid w:val="00B43A00"/>
    <w:rsid w:val="00B44183"/>
    <w:rsid w:val="00B61404"/>
    <w:rsid w:val="00B62763"/>
    <w:rsid w:val="00B630D1"/>
    <w:rsid w:val="00B67402"/>
    <w:rsid w:val="00B70A91"/>
    <w:rsid w:val="00B72758"/>
    <w:rsid w:val="00B72B1F"/>
    <w:rsid w:val="00B750FA"/>
    <w:rsid w:val="00B75824"/>
    <w:rsid w:val="00B758BC"/>
    <w:rsid w:val="00B76ED2"/>
    <w:rsid w:val="00B808C4"/>
    <w:rsid w:val="00B91B9E"/>
    <w:rsid w:val="00B91C13"/>
    <w:rsid w:val="00B956B7"/>
    <w:rsid w:val="00BA055D"/>
    <w:rsid w:val="00BA36D9"/>
    <w:rsid w:val="00BA4DD7"/>
    <w:rsid w:val="00BB1C9C"/>
    <w:rsid w:val="00BB2986"/>
    <w:rsid w:val="00BB3252"/>
    <w:rsid w:val="00BC1496"/>
    <w:rsid w:val="00BC4A84"/>
    <w:rsid w:val="00BC7D71"/>
    <w:rsid w:val="00BD1433"/>
    <w:rsid w:val="00BD41BA"/>
    <w:rsid w:val="00BD4AAE"/>
    <w:rsid w:val="00BD6450"/>
    <w:rsid w:val="00BE3F19"/>
    <w:rsid w:val="00BF4489"/>
    <w:rsid w:val="00BF6971"/>
    <w:rsid w:val="00BF7213"/>
    <w:rsid w:val="00C02E9D"/>
    <w:rsid w:val="00C14E56"/>
    <w:rsid w:val="00C16834"/>
    <w:rsid w:val="00C20E8B"/>
    <w:rsid w:val="00C21717"/>
    <w:rsid w:val="00C36926"/>
    <w:rsid w:val="00C41A13"/>
    <w:rsid w:val="00C43CD5"/>
    <w:rsid w:val="00C4556E"/>
    <w:rsid w:val="00C460E9"/>
    <w:rsid w:val="00C50AFA"/>
    <w:rsid w:val="00C51545"/>
    <w:rsid w:val="00C52903"/>
    <w:rsid w:val="00C53854"/>
    <w:rsid w:val="00C53C0A"/>
    <w:rsid w:val="00C54400"/>
    <w:rsid w:val="00C547D8"/>
    <w:rsid w:val="00C56DF4"/>
    <w:rsid w:val="00C713B3"/>
    <w:rsid w:val="00C72AAA"/>
    <w:rsid w:val="00C73B64"/>
    <w:rsid w:val="00C74362"/>
    <w:rsid w:val="00C76CA0"/>
    <w:rsid w:val="00C77B17"/>
    <w:rsid w:val="00C91FFD"/>
    <w:rsid w:val="00CA1142"/>
    <w:rsid w:val="00CA12FD"/>
    <w:rsid w:val="00CA2DD1"/>
    <w:rsid w:val="00CA611F"/>
    <w:rsid w:val="00CB152E"/>
    <w:rsid w:val="00CB6D1E"/>
    <w:rsid w:val="00CB728D"/>
    <w:rsid w:val="00CB75EE"/>
    <w:rsid w:val="00CC229D"/>
    <w:rsid w:val="00CC3BD6"/>
    <w:rsid w:val="00CC7611"/>
    <w:rsid w:val="00CD0803"/>
    <w:rsid w:val="00CD4EE6"/>
    <w:rsid w:val="00CE2EED"/>
    <w:rsid w:val="00CE2F59"/>
    <w:rsid w:val="00CE39ED"/>
    <w:rsid w:val="00CF37C1"/>
    <w:rsid w:val="00CF7364"/>
    <w:rsid w:val="00CF7B67"/>
    <w:rsid w:val="00D02CC5"/>
    <w:rsid w:val="00D0398D"/>
    <w:rsid w:val="00D10718"/>
    <w:rsid w:val="00D15842"/>
    <w:rsid w:val="00D1706F"/>
    <w:rsid w:val="00D239B3"/>
    <w:rsid w:val="00D26930"/>
    <w:rsid w:val="00D31100"/>
    <w:rsid w:val="00D320D3"/>
    <w:rsid w:val="00D34E8D"/>
    <w:rsid w:val="00D426FE"/>
    <w:rsid w:val="00D42C2E"/>
    <w:rsid w:val="00D46D43"/>
    <w:rsid w:val="00D638DD"/>
    <w:rsid w:val="00D66F73"/>
    <w:rsid w:val="00D81861"/>
    <w:rsid w:val="00D82D3D"/>
    <w:rsid w:val="00D85DCC"/>
    <w:rsid w:val="00D92E03"/>
    <w:rsid w:val="00D930CA"/>
    <w:rsid w:val="00D97437"/>
    <w:rsid w:val="00DA4967"/>
    <w:rsid w:val="00DB1443"/>
    <w:rsid w:val="00DB37E9"/>
    <w:rsid w:val="00DB4435"/>
    <w:rsid w:val="00DB4486"/>
    <w:rsid w:val="00DC5207"/>
    <w:rsid w:val="00DD0487"/>
    <w:rsid w:val="00DD5B56"/>
    <w:rsid w:val="00DD76E0"/>
    <w:rsid w:val="00DD7834"/>
    <w:rsid w:val="00DE04F7"/>
    <w:rsid w:val="00DE51DE"/>
    <w:rsid w:val="00DE5DF5"/>
    <w:rsid w:val="00DE7DE7"/>
    <w:rsid w:val="00DF3418"/>
    <w:rsid w:val="00E005B3"/>
    <w:rsid w:val="00E052B1"/>
    <w:rsid w:val="00E05EA5"/>
    <w:rsid w:val="00E071B9"/>
    <w:rsid w:val="00E10889"/>
    <w:rsid w:val="00E127DA"/>
    <w:rsid w:val="00E2088F"/>
    <w:rsid w:val="00E21448"/>
    <w:rsid w:val="00E27E9F"/>
    <w:rsid w:val="00E301EC"/>
    <w:rsid w:val="00E32BB0"/>
    <w:rsid w:val="00E3313D"/>
    <w:rsid w:val="00E351A2"/>
    <w:rsid w:val="00E64C35"/>
    <w:rsid w:val="00E66989"/>
    <w:rsid w:val="00E84717"/>
    <w:rsid w:val="00E94581"/>
    <w:rsid w:val="00EA3776"/>
    <w:rsid w:val="00EA59A2"/>
    <w:rsid w:val="00EA65B8"/>
    <w:rsid w:val="00EB416A"/>
    <w:rsid w:val="00EB555D"/>
    <w:rsid w:val="00EC384A"/>
    <w:rsid w:val="00EC5079"/>
    <w:rsid w:val="00EC6223"/>
    <w:rsid w:val="00EC6F31"/>
    <w:rsid w:val="00ED01A3"/>
    <w:rsid w:val="00ED0C39"/>
    <w:rsid w:val="00EE2ED4"/>
    <w:rsid w:val="00EF580E"/>
    <w:rsid w:val="00F0024B"/>
    <w:rsid w:val="00F063AA"/>
    <w:rsid w:val="00F06982"/>
    <w:rsid w:val="00F07FA0"/>
    <w:rsid w:val="00F120D7"/>
    <w:rsid w:val="00F22E3E"/>
    <w:rsid w:val="00F27682"/>
    <w:rsid w:val="00F31815"/>
    <w:rsid w:val="00F3211E"/>
    <w:rsid w:val="00F36C11"/>
    <w:rsid w:val="00F4123E"/>
    <w:rsid w:val="00F42516"/>
    <w:rsid w:val="00F46E16"/>
    <w:rsid w:val="00F47F1A"/>
    <w:rsid w:val="00F51C1E"/>
    <w:rsid w:val="00F5355E"/>
    <w:rsid w:val="00F55EC1"/>
    <w:rsid w:val="00F60AE1"/>
    <w:rsid w:val="00F6498B"/>
    <w:rsid w:val="00F671FE"/>
    <w:rsid w:val="00F80234"/>
    <w:rsid w:val="00F82B0A"/>
    <w:rsid w:val="00F8417E"/>
    <w:rsid w:val="00F9051B"/>
    <w:rsid w:val="00F92520"/>
    <w:rsid w:val="00F96C7A"/>
    <w:rsid w:val="00FB07A7"/>
    <w:rsid w:val="00FB3D38"/>
    <w:rsid w:val="00FC7430"/>
    <w:rsid w:val="00FE27E3"/>
    <w:rsid w:val="00FF0A46"/>
    <w:rsid w:val="00FF37BD"/>
    <w:rsid w:val="10EF7082"/>
    <w:rsid w:val="248E7D86"/>
    <w:rsid w:val="2532523F"/>
    <w:rsid w:val="4EAA0250"/>
    <w:rsid w:val="63C3052B"/>
    <w:rsid w:val="6BAB16B2"/>
    <w:rsid w:val="7D635A5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qFormat/>
    <w:uiPriority w:val="0"/>
    <w:pPr>
      <w:keepNext/>
      <w:keepLines/>
      <w:spacing w:before="280" w:after="290" w:line="376" w:lineRule="auto"/>
      <w:outlineLvl w:val="3"/>
    </w:pPr>
    <w:rPr>
      <w:rFonts w:ascii="Courier New" w:hAnsi="Courier New" w:eastAsia="Cambria Math" w:cs="Times New Roman"/>
      <w:b/>
      <w:bCs/>
      <w:sz w:val="28"/>
      <w:szCs w:val="28"/>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link w:val="12"/>
    <w:qFormat/>
    <w:uiPriority w:val="99"/>
    <w:rPr>
      <w:rFonts w:eastAsia="华文中宋"/>
      <w:sz w:val="28"/>
      <w:szCs w:val="28"/>
    </w:rPr>
  </w:style>
  <w:style w:type="paragraph" w:styleId="4">
    <w:name w:val="Body Text"/>
    <w:basedOn w:val="1"/>
    <w:qFormat/>
    <w:uiPriority w:val="0"/>
    <w:rPr>
      <w:sz w:val="44"/>
    </w:rPr>
  </w:style>
  <w:style w:type="paragraph" w:styleId="5">
    <w:name w:val="Date"/>
    <w:basedOn w:val="1"/>
    <w:next w:val="1"/>
    <w:link w:val="11"/>
    <w:qFormat/>
    <w:uiPriority w:val="0"/>
    <w:pPr>
      <w:ind w:left="100" w:leftChars="2500"/>
    </w:pPr>
    <w:rPr>
      <w:rFonts w:ascii="仿宋_GB2312" w:hAnsi="宋体" w:eastAsia="仿宋_GB2312"/>
      <w:sz w:val="30"/>
      <w:szCs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10">
    <w:name w:val="unnamed11"/>
    <w:qFormat/>
    <w:uiPriority w:val="0"/>
    <w:rPr>
      <w:sz w:val="21"/>
    </w:rPr>
  </w:style>
  <w:style w:type="character" w:customStyle="1" w:styleId="11">
    <w:name w:val="日期 Char"/>
    <w:basedOn w:val="9"/>
    <w:link w:val="5"/>
    <w:qFormat/>
    <w:uiPriority w:val="0"/>
    <w:rPr>
      <w:rFonts w:ascii="仿宋_GB2312" w:hAnsi="宋体" w:eastAsia="仿宋_GB2312"/>
      <w:kern w:val="2"/>
      <w:sz w:val="30"/>
      <w:szCs w:val="28"/>
    </w:rPr>
  </w:style>
  <w:style w:type="character" w:customStyle="1" w:styleId="12">
    <w:name w:val="正文缩进 Char"/>
    <w:link w:val="3"/>
    <w:qFormat/>
    <w:locked/>
    <w:uiPriority w:val="99"/>
    <w:rPr>
      <w:rFonts w:eastAsia="华文中宋"/>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www.xdngs.com</Company>
  <Pages>6</Pages>
  <Words>399</Words>
  <Characters>2278</Characters>
  <Lines>18</Lines>
  <Paragraphs>5</Paragraphs>
  <TotalTime>72</TotalTime>
  <ScaleCrop>false</ScaleCrop>
  <LinksUpToDate>false</LinksUpToDate>
  <CharactersWithSpaces>2672</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2018-03-01T02:28:00Z</dcterms:created>
  <dc:creator>CN=李道金/OU=上饶市/O=jiangxi</dc:creator>
  <cp:lastModifiedBy>橘子、桔子</cp:lastModifiedBy>
  <cp:lastPrinted>2020-04-15T02:06:00Z</cp:lastPrinted>
  <dcterms:modified xsi:type="dcterms:W3CDTF">2020-05-07T02:16:37Z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