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“数据要素×”典型案例申报书（模板）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1080" w:firstLineChars="300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案例名称：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1080" w:firstLineChars="3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申报单位：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2024年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“数据要素×”典型案例申报表</w:t>
      </w:r>
    </w:p>
    <w:tbl>
      <w:tblPr>
        <w:tblStyle w:val="5"/>
        <w:tblpPr w:leftFromText="180" w:rightFromText="180" w:vertAnchor="text" w:horzAnchor="page" w:tblpX="1848" w:tblpY="192"/>
        <w:tblOverlap w:val="never"/>
        <w:tblW w:w="8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36"/>
        <w:gridCol w:w="817"/>
        <w:gridCol w:w="1882"/>
        <w:gridCol w:w="1377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7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7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申报理由及推广价值</w:t>
            </w:r>
          </w:p>
        </w:tc>
        <w:tc>
          <w:tcPr>
            <w:tcW w:w="70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申报单位意见</w:t>
            </w:r>
          </w:p>
        </w:tc>
        <w:tc>
          <w:tcPr>
            <w:tcW w:w="70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“数据要素×”典型案例申报材料模板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  <w:t>（总篇幅不超过3000字）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一、问题描述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（300字以内）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包括但不限于案例需要解决的所属行业（产业）发展问题、案例需要的数据类别、案例解决的数据流通的卡点、堵点等。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二、解决方案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（1500字以内）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结推动行业内数据协同、复用、融合创新的典型经验，包括但不限于思路目标、主要举措和具体做法、模式等。每条经验单列一项，要突出问题导向，针对问题描述提出的具体问题全面介绍案例的创新性经验做法、主要工作亮点和特色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三、应用成效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（500字以内）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分析案例应用带来的经济和社会效益。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四、创新点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（500字以内）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总结案例中的创新亮点，包括但不限于理念创新、组织创新、技术创新、模式创新、管理创新、机制创新等。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五、参与单位情况介绍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本单位提交的“数据要素×”典型案例申报材料内容、数据真实准确，相关佐证材料合法合规且真实有效。如申报材料或相关佐证材料失实、虚假，本单位自愿放弃评审资格，并承担相应责任。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（申报单位盖章）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2024年  月  日  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C966B4E"/>
    <w:rsid w:val="6DFF8F0B"/>
    <w:rsid w:val="B5FFB198"/>
    <w:rsid w:val="F7BD2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qFormat/>
    <w:uiPriority w:val="0"/>
    <w:pPr>
      <w:ind w:left="420" w:leftChars="200"/>
    </w:pPr>
    <w:rPr>
      <w:rFonts w:eastAsia="Times New Roman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Java</cp:lastModifiedBy>
  <dcterms:modified xsi:type="dcterms:W3CDTF">2024-03-08T09:22:40Z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6A10D0C2F2984B289EC2D315F14D3A1B_13</vt:lpwstr>
  </property>
</Properties>
</file>