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82"/>
        <w:jc w:val="center"/>
        <w:textAlignment w:val="auto"/>
        <w:rPr>
          <w:rFonts w:hint="eastAsia" w:ascii="宋体" w:hAnsi="宋体" w:cs="宋体"/>
          <w:b/>
          <w:color w:val="000000"/>
          <w:sz w:val="44"/>
          <w:szCs w:val="44"/>
          <w:lang w:eastAsia="zh-CN"/>
        </w:rPr>
      </w:pPr>
      <w:bookmarkStart w:id="0" w:name="_GoBack"/>
      <w:bookmarkEnd w:id="0"/>
      <w:r>
        <w:rPr>
          <w:rFonts w:hint="eastAsia" w:ascii="宋体" w:hAnsi="宋体" w:cs="宋体"/>
          <w:b/>
          <w:color w:val="000000"/>
          <w:sz w:val="44"/>
          <w:szCs w:val="44"/>
        </w:rPr>
        <w:t>上饶市</w:t>
      </w:r>
      <w:r>
        <w:rPr>
          <w:rFonts w:hint="eastAsia" w:ascii="宋体" w:hAnsi="宋体" w:cs="宋体"/>
          <w:b/>
          <w:color w:val="000000"/>
          <w:sz w:val="44"/>
          <w:szCs w:val="44"/>
          <w:lang w:eastAsia="zh-CN"/>
        </w:rPr>
        <w:t>水利局网络安全等级防护设备</w:t>
      </w:r>
    </w:p>
    <w:p>
      <w:pPr>
        <w:keepNext w:val="0"/>
        <w:keepLines w:val="0"/>
        <w:pageBreakBefore w:val="0"/>
        <w:widowControl w:val="0"/>
        <w:kinsoku/>
        <w:wordWrap/>
        <w:overflowPunct/>
        <w:topLinePunct w:val="0"/>
        <w:autoSpaceDE/>
        <w:autoSpaceDN/>
        <w:bidi w:val="0"/>
        <w:adjustRightInd/>
        <w:snapToGrid/>
        <w:spacing w:line="560" w:lineRule="exact"/>
        <w:ind w:firstLine="482"/>
        <w:jc w:val="center"/>
        <w:textAlignment w:val="auto"/>
        <w:rPr>
          <w:rFonts w:hint="eastAsia" w:ascii="宋体" w:hAnsi="宋体" w:cs="宋体"/>
          <w:b/>
          <w:color w:val="000000"/>
          <w:sz w:val="44"/>
          <w:szCs w:val="44"/>
          <w:lang w:eastAsia="zh-CN"/>
        </w:rPr>
      </w:pPr>
      <w:r>
        <w:rPr>
          <w:rFonts w:hint="eastAsia" w:ascii="宋体" w:hAnsi="宋体" w:cs="宋体"/>
          <w:b/>
          <w:color w:val="000000"/>
          <w:sz w:val="44"/>
          <w:szCs w:val="44"/>
          <w:lang w:eastAsia="zh-CN"/>
        </w:rPr>
        <w:t>采购清单</w:t>
      </w:r>
    </w:p>
    <w:p>
      <w:pPr>
        <w:keepNext w:val="0"/>
        <w:keepLines w:val="0"/>
        <w:pageBreakBefore w:val="0"/>
        <w:widowControl w:val="0"/>
        <w:kinsoku/>
        <w:wordWrap/>
        <w:overflowPunct/>
        <w:topLinePunct w:val="0"/>
        <w:autoSpaceDE/>
        <w:autoSpaceDN/>
        <w:bidi w:val="0"/>
        <w:adjustRightInd/>
        <w:snapToGrid/>
        <w:spacing w:line="560" w:lineRule="exact"/>
        <w:ind w:firstLine="482"/>
        <w:jc w:val="center"/>
        <w:textAlignment w:val="auto"/>
        <w:rPr>
          <w:rFonts w:hint="eastAsia" w:ascii="宋体" w:hAnsi="宋体" w:cs="宋体"/>
          <w:b/>
          <w:color w:val="000000"/>
          <w:sz w:val="44"/>
          <w:szCs w:val="44"/>
          <w:lang w:eastAsia="zh-CN"/>
        </w:rPr>
      </w:pPr>
    </w:p>
    <w:tbl>
      <w:tblPr>
        <w:tblStyle w:val="2"/>
        <w:tblW w:w="8437"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5913"/>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62" w:type="dxa"/>
            <w:shd w:val="clear" w:color="auto" w:fill="EEECE1"/>
            <w:noWrap w:val="0"/>
            <w:vAlign w:val="center"/>
          </w:tcPr>
          <w:p>
            <w:pPr>
              <w:spacing w:after="0" w:line="240" w:lineRule="exact"/>
              <w:jc w:val="center"/>
              <w:rPr>
                <w:rFonts w:ascii="Calibri" w:hAnsi="Calibri" w:eastAsia="宋体"/>
                <w:b/>
                <w:bCs/>
                <w:kern w:val="2"/>
                <w:sz w:val="21"/>
              </w:rPr>
            </w:pPr>
            <w:r>
              <w:rPr>
                <w:rFonts w:hint="eastAsia" w:ascii="Calibri" w:hAnsi="Calibri" w:eastAsia="宋体"/>
                <w:b/>
                <w:bCs/>
                <w:kern w:val="2"/>
                <w:sz w:val="21"/>
              </w:rPr>
              <w:t>设备名称</w:t>
            </w:r>
          </w:p>
        </w:tc>
        <w:tc>
          <w:tcPr>
            <w:tcW w:w="5913" w:type="dxa"/>
            <w:shd w:val="clear" w:color="auto" w:fill="EEECE1"/>
            <w:noWrap w:val="0"/>
            <w:vAlign w:val="center"/>
          </w:tcPr>
          <w:p>
            <w:pPr>
              <w:spacing w:after="0" w:line="240" w:lineRule="exact"/>
              <w:jc w:val="center"/>
              <w:rPr>
                <w:rFonts w:ascii="Calibri" w:hAnsi="Calibri" w:eastAsia="宋体"/>
                <w:b/>
                <w:bCs/>
                <w:kern w:val="2"/>
                <w:sz w:val="21"/>
              </w:rPr>
            </w:pPr>
            <w:r>
              <w:rPr>
                <w:rFonts w:hint="eastAsia" w:ascii="Calibri" w:hAnsi="Calibri" w:eastAsia="宋体"/>
                <w:b/>
                <w:bCs/>
                <w:kern w:val="2"/>
                <w:sz w:val="21"/>
              </w:rPr>
              <w:t>功能描述</w:t>
            </w:r>
          </w:p>
        </w:tc>
        <w:tc>
          <w:tcPr>
            <w:tcW w:w="1062" w:type="dxa"/>
            <w:shd w:val="clear" w:color="auto" w:fill="EEECE1"/>
            <w:noWrap w:val="0"/>
            <w:vAlign w:val="center"/>
          </w:tcPr>
          <w:p>
            <w:pPr>
              <w:spacing w:after="0" w:line="240" w:lineRule="exact"/>
              <w:jc w:val="center"/>
              <w:rPr>
                <w:rFonts w:hint="eastAsia" w:ascii="Calibri" w:hAnsi="Calibri" w:eastAsia="宋体"/>
                <w:b/>
                <w:bCs/>
                <w:kern w:val="2"/>
                <w:sz w:val="21"/>
                <w:lang w:eastAsia="zh-CN"/>
              </w:rPr>
            </w:pPr>
            <w:r>
              <w:rPr>
                <w:rFonts w:hint="eastAsia" w:ascii="Calibri" w:hAnsi="Calibri" w:eastAsia="宋体"/>
                <w:b/>
                <w:bCs/>
                <w:kern w:val="2"/>
                <w:sz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1462" w:type="dxa"/>
            <w:noWrap w:val="0"/>
            <w:vAlign w:val="center"/>
          </w:tcPr>
          <w:p>
            <w:pPr>
              <w:spacing w:after="0" w:line="240" w:lineRule="exact"/>
              <w:jc w:val="center"/>
              <w:rPr>
                <w:rFonts w:ascii="Calibri" w:hAnsi="Calibri" w:eastAsia="宋体"/>
                <w:kern w:val="2"/>
                <w:sz w:val="21"/>
              </w:rPr>
            </w:pPr>
            <w:r>
              <w:rPr>
                <w:rFonts w:hint="eastAsia" w:ascii="Calibri" w:hAnsi="Calibri" w:eastAsia="宋体"/>
                <w:kern w:val="2"/>
                <w:sz w:val="21"/>
              </w:rPr>
              <w:t>入侵防御</w:t>
            </w:r>
          </w:p>
        </w:tc>
        <w:tc>
          <w:tcPr>
            <w:tcW w:w="5913" w:type="dxa"/>
            <w:noWrap w:val="0"/>
            <w:vAlign w:val="top"/>
          </w:tcPr>
          <w:p>
            <w:pPr>
              <w:pStyle w:val="4"/>
              <w:widowControl w:val="0"/>
              <w:numPr>
                <w:ilvl w:val="0"/>
                <w:numId w:val="1"/>
              </w:numPr>
              <w:adjustRightInd/>
              <w:snapToGrid/>
              <w:spacing w:after="0"/>
              <w:ind w:firstLineChars="0"/>
              <w:jc w:val="both"/>
              <w:rPr>
                <w:rFonts w:ascii="Calibri" w:hAnsi="Calibri" w:eastAsia="宋体"/>
                <w:b/>
                <w:bCs/>
                <w:kern w:val="2"/>
                <w:sz w:val="21"/>
              </w:rPr>
            </w:pPr>
            <w:r>
              <w:rPr>
                <w:rFonts w:hint="eastAsia" w:ascii="Calibri" w:hAnsi="Calibri" w:eastAsia="宋体"/>
                <w:b/>
                <w:bCs/>
                <w:kern w:val="2"/>
                <w:sz w:val="21"/>
              </w:rPr>
              <w:t>功能描述</w:t>
            </w:r>
          </w:p>
          <w:p>
            <w:pPr>
              <w:pStyle w:val="4"/>
              <w:widowControl w:val="0"/>
              <w:numPr>
                <w:ilvl w:val="0"/>
                <w:numId w:val="2"/>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基本网络防火墙功能，IPSEC VPN功能，攻击防护，访问控制功能，用户认证功能，链路负载均衡功能、流量控制功能。</w:t>
            </w:r>
          </w:p>
          <w:p>
            <w:pPr>
              <w:pStyle w:val="4"/>
              <w:widowControl w:val="0"/>
              <w:numPr>
                <w:ilvl w:val="0"/>
                <w:numId w:val="2"/>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关键字过滤和基于超过2000万域名的URL数据库可以帮助管理员轻松设置禁止访问的网页，控制对不良网站的访问，针对网络带宽、APP应用进行识别和管控。</w:t>
            </w:r>
          </w:p>
          <w:p>
            <w:pPr>
              <w:pStyle w:val="4"/>
              <w:widowControl w:val="0"/>
              <w:numPr>
                <w:ilvl w:val="0"/>
                <w:numId w:val="2"/>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支持大病毒文件的扫描，实时病毒连接阻断，病毒事件记录，支持常见病毒传输协议HTTP、FTP及各种邮件协议扫描。</w:t>
            </w:r>
          </w:p>
          <w:p>
            <w:pPr>
              <w:pStyle w:val="4"/>
              <w:widowControl w:val="0"/>
              <w:numPr>
                <w:ilvl w:val="0"/>
                <w:numId w:val="2"/>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基于状态、精准的高性能攻击检测和防御，实时攻击源阻断、IP 屏蔽、攻击事件记录，支持针对多种协议和应用的攻击检测和防御，支持SQL注入和XSS防御、外链防护和Web访问控制。</w:t>
            </w:r>
          </w:p>
          <w:p>
            <w:pPr>
              <w:pStyle w:val="4"/>
              <w:widowControl w:val="0"/>
              <w:numPr>
                <w:ilvl w:val="0"/>
                <w:numId w:val="2"/>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支持独立的Web防护模块，提供防盗链、CSRF攻击、CC攻击、应用隐藏、网页防篡改等防护；支持HTTP协议的精确访问控制，可针对Method、Referer、User-Agent、Cookie、Url-args等字段设置内容。</w:t>
            </w:r>
          </w:p>
          <w:p>
            <w:pPr>
              <w:pStyle w:val="4"/>
              <w:widowControl w:val="0"/>
              <w:numPr>
                <w:ilvl w:val="0"/>
                <w:numId w:val="2"/>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云端威胁情报订阅模块：提供攻击主机、僵尸网络、病毒木马、恶意软件、APT情报、恶意邮件等情报的活跃时间、可信度、家族分类，可应用于本产品的实时分析；设备支持针对内网进行威胁情报安全分析，跳转至威胁情报平台查询与溯源：云端提供对IoC威胁类型、多源情报、WHOIS、开放端口、SSL证书等多维度的溯源分析；云端服务：支持订阅高级威胁分析情报，云端提供最新APT入侵、0day漏洞预警、病毒变种情况等分析报告订阅。</w:t>
            </w:r>
          </w:p>
          <w:p>
            <w:pPr>
              <w:pStyle w:val="4"/>
              <w:widowControl w:val="0"/>
              <w:numPr>
                <w:ilvl w:val="0"/>
                <w:numId w:val="1"/>
              </w:numPr>
              <w:adjustRightInd/>
              <w:snapToGrid/>
              <w:spacing w:after="0"/>
              <w:ind w:firstLineChars="0"/>
              <w:jc w:val="both"/>
              <w:rPr>
                <w:rFonts w:ascii="Calibri" w:hAnsi="Calibri" w:eastAsia="宋体"/>
                <w:b/>
                <w:bCs/>
                <w:kern w:val="2"/>
                <w:sz w:val="21"/>
              </w:rPr>
            </w:pPr>
            <w:r>
              <w:rPr>
                <w:rFonts w:hint="eastAsia" w:ascii="Calibri" w:hAnsi="Calibri" w:eastAsia="宋体"/>
                <w:b/>
                <w:bCs/>
                <w:kern w:val="2"/>
                <w:sz w:val="21"/>
              </w:rPr>
              <w:t>技术要求</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 xml:space="preserve">标准1U硬件平台；双交流电源；含12*GE电口,12*SFP光口，500G硬盘，网络吞吐量8Gbps；最大并发连接数大于300万，每秒新建HTTP连接数大于10万。                                                                                                                  </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具备中国国家版权局颁布的《计算机软件著作权证书》</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具备全球IPv6测试中心颁布的《IPv6 Ready Phase 2证书》</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具备中华人民共和国工业和信息化部颁发的《电信设备进网许可证》</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支持实时获取威胁情报，并应用威胁情报对本地资产进行威胁检测，并可对检测到的威胁情报支持单点登陆威胁情报云平台查看该情报详情</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支持对最多20级的压缩文件进行解压查杀</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接口支持配置从属IP地址，每个接口要求支持至少200个从属IP</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支持4G接入，并可实现4G连接与有线链路之间互为备份；支持的4G网卡必须包括华为E3372；支持在4G接口上运行IPSec VPN</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支持DNS透明代理功能，代理算法包括：优先级、权重和流量</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支持一体化安全策略：可基于设备接口/安全域、地址、服务、应用、用户、时间等属性，配置入侵防御、病毒防护、URL过滤、应用过滤、会话老化时间、终端过滤等高级访问控制功能</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支持应用识别，内置5000种以上应用特征库，并可识别iOS、安卓等移动互联网软件如微博、微信等特征，并可智能识别P2P和迅雷行为，并支持在线升级和手动升级</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支持智能和快速两种应用识别模式，在智能识别模式下应用引擎尽可能地用各种方式识别网络流量，在快速识别模式下应用引擎将关闭部分智能分析功能以提高性能</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提供邮件控制，支持针对邮件收发件人、邮件标题及内容关键字，邮件大小、邮件附件个数进行过滤；支持针对搜索引擎、HTTP上传、网页内容的WEB关键字过滤；</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支持针对虚拟账号过滤，设定允许登录的QQ账号白名单或禁止登录的QQ账号黑名单</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支持IP准入、MAC准入、IP+MAC准入、本地WEB认证、Portal认证、短信认证、免认证、微信认证、混合认证、AD域单点登录和访客二维码认证</w:t>
            </w:r>
          </w:p>
          <w:p>
            <w:pPr>
              <w:pStyle w:val="4"/>
              <w:widowControl w:val="0"/>
              <w:numPr>
                <w:ilvl w:val="0"/>
                <w:numId w:val="3"/>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微信认证，可以选择获取IP地址、OpenID或手机号等实名信息，支持与微信公众平台进行认证联动，认证方式包括公众号按钮跳转、公众号回复关键词等方式。认证过程中要求用户必须关注公众号，帮忙单位实现品牌营销</w:t>
            </w:r>
          </w:p>
          <w:p>
            <w:pPr>
              <w:ind w:firstLine="480" w:firstLineChars="200"/>
              <w:rPr>
                <w:rFonts w:hint="eastAsia" w:ascii="Calibri" w:hAnsi="Calibri" w:eastAsia="宋体"/>
                <w:kern w:val="2"/>
                <w:sz w:val="21"/>
              </w:rPr>
            </w:pPr>
            <w:r>
              <w:rPr>
                <w:rFonts w:ascii="宋体" w:hAnsi="宋体"/>
                <w:sz w:val="24"/>
                <w:szCs w:val="24"/>
              </w:rPr>
              <w:t>需提供制造商参数确认函</w:t>
            </w:r>
            <w:r>
              <w:rPr>
                <w:rFonts w:hint="eastAsia" w:ascii="宋体" w:hAnsi="宋体"/>
                <w:sz w:val="24"/>
                <w:szCs w:val="24"/>
              </w:rPr>
              <w:t>。</w:t>
            </w:r>
          </w:p>
        </w:tc>
        <w:tc>
          <w:tcPr>
            <w:tcW w:w="1062" w:type="dxa"/>
            <w:noWrap w:val="0"/>
            <w:vAlign w:val="center"/>
          </w:tcPr>
          <w:p>
            <w:pPr>
              <w:spacing w:after="0" w:line="240" w:lineRule="exact"/>
              <w:jc w:val="center"/>
              <w:rPr>
                <w:rFonts w:hint="eastAsia" w:ascii="黑体" w:hAnsi="黑体" w:eastAsia="黑体" w:cs="黑体"/>
                <w:lang w:eastAsia="zh-CN"/>
              </w:rPr>
            </w:pPr>
            <w:r>
              <w:rPr>
                <w:rFonts w:hint="eastAsia" w:ascii="黑体" w:hAnsi="黑体" w:eastAsia="黑体" w:cs="黑体"/>
              </w:rPr>
              <w:t>1</w:t>
            </w:r>
            <w:r>
              <w:rPr>
                <w:rFonts w:hint="eastAsia" w:ascii="黑体" w:hAnsi="黑体" w:eastAsia="黑体" w:cs="黑体"/>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1462" w:type="dxa"/>
            <w:noWrap w:val="0"/>
            <w:vAlign w:val="center"/>
          </w:tcPr>
          <w:p>
            <w:pPr>
              <w:spacing w:after="0" w:line="240" w:lineRule="exact"/>
              <w:jc w:val="center"/>
              <w:rPr>
                <w:rFonts w:ascii="Calibri" w:hAnsi="Calibri" w:eastAsia="宋体"/>
                <w:kern w:val="2"/>
                <w:sz w:val="21"/>
              </w:rPr>
            </w:pPr>
            <w:r>
              <w:rPr>
                <w:rFonts w:hint="eastAsia" w:ascii="Calibri" w:hAnsi="Calibri" w:eastAsia="宋体"/>
                <w:kern w:val="2"/>
                <w:sz w:val="21"/>
              </w:rPr>
              <w:t>日志审计</w:t>
            </w:r>
          </w:p>
        </w:tc>
        <w:tc>
          <w:tcPr>
            <w:tcW w:w="5913" w:type="dxa"/>
            <w:noWrap w:val="0"/>
            <w:vAlign w:val="top"/>
          </w:tcPr>
          <w:p>
            <w:pPr>
              <w:pStyle w:val="4"/>
              <w:widowControl w:val="0"/>
              <w:numPr>
                <w:ilvl w:val="0"/>
                <w:numId w:val="4"/>
              </w:numPr>
              <w:adjustRightInd/>
              <w:snapToGrid/>
              <w:spacing w:after="0"/>
              <w:ind w:firstLineChars="0"/>
              <w:jc w:val="both"/>
              <w:rPr>
                <w:rFonts w:ascii="Calibri" w:hAnsi="Calibri" w:eastAsia="宋体"/>
                <w:b/>
                <w:bCs/>
                <w:kern w:val="2"/>
                <w:sz w:val="21"/>
              </w:rPr>
            </w:pPr>
            <w:r>
              <w:rPr>
                <w:rFonts w:hint="eastAsia" w:ascii="Calibri" w:hAnsi="Calibri" w:eastAsia="宋体"/>
                <w:b/>
                <w:bCs/>
                <w:kern w:val="2"/>
                <w:sz w:val="21"/>
              </w:rPr>
              <w:t>功能描述</w:t>
            </w:r>
          </w:p>
          <w:p>
            <w:pPr>
              <w:widowControl w:val="0"/>
              <w:numPr>
                <w:ilvl w:val="0"/>
                <w:numId w:val="5"/>
              </w:numPr>
              <w:adjustRightInd/>
              <w:snapToGrid/>
              <w:spacing w:after="0"/>
              <w:jc w:val="both"/>
              <w:rPr>
                <w:rFonts w:ascii="Calibri" w:hAnsi="Calibri" w:eastAsia="宋体"/>
                <w:kern w:val="2"/>
                <w:sz w:val="21"/>
              </w:rPr>
            </w:pPr>
            <w:r>
              <w:rPr>
                <w:rFonts w:hint="eastAsia" w:ascii="Calibri" w:hAnsi="Calibri" w:eastAsia="宋体"/>
                <w:kern w:val="2"/>
                <w:sz w:val="21"/>
              </w:rPr>
              <w:t>支持对工控网络设备、安全设备、操作员、业务应用系统等日志进行统一的收集及审计。</w:t>
            </w:r>
          </w:p>
          <w:p>
            <w:pPr>
              <w:widowControl w:val="0"/>
              <w:numPr>
                <w:ilvl w:val="0"/>
                <w:numId w:val="5"/>
              </w:numPr>
              <w:adjustRightInd/>
              <w:snapToGrid/>
              <w:spacing w:after="0"/>
              <w:jc w:val="both"/>
              <w:rPr>
                <w:rFonts w:ascii="Calibri" w:hAnsi="Calibri" w:eastAsia="宋体"/>
                <w:kern w:val="2"/>
                <w:sz w:val="21"/>
              </w:rPr>
            </w:pPr>
            <w:r>
              <w:rPr>
                <w:rFonts w:hint="eastAsia" w:ascii="Calibri" w:hAnsi="Calibri" w:eastAsia="宋体"/>
                <w:kern w:val="2"/>
                <w:sz w:val="21"/>
              </w:rPr>
              <w:t>支持对日志记录的统一收集、存储、分析、查询、审计和报表输出。</w:t>
            </w:r>
          </w:p>
          <w:p>
            <w:pPr>
              <w:widowControl w:val="0"/>
              <w:numPr>
                <w:ilvl w:val="0"/>
                <w:numId w:val="5"/>
              </w:numPr>
              <w:adjustRightInd/>
              <w:snapToGrid/>
              <w:spacing w:after="0"/>
              <w:jc w:val="both"/>
              <w:rPr>
                <w:rFonts w:ascii="Calibri" w:hAnsi="Calibri" w:eastAsia="宋体"/>
                <w:kern w:val="2"/>
                <w:sz w:val="21"/>
              </w:rPr>
            </w:pPr>
            <w:r>
              <w:rPr>
                <w:rFonts w:hint="eastAsia" w:ascii="Calibri" w:hAnsi="Calibri" w:eastAsia="宋体"/>
                <w:kern w:val="2"/>
                <w:sz w:val="21"/>
              </w:rPr>
              <w:t>支持对安全事件收集与积累并且加以分析，有选择性地对用户进行审计跟踪，及时发现可能产生的破坏性行为。</w:t>
            </w:r>
          </w:p>
          <w:p>
            <w:pPr>
              <w:pStyle w:val="4"/>
              <w:widowControl w:val="0"/>
              <w:numPr>
                <w:ilvl w:val="0"/>
                <w:numId w:val="4"/>
              </w:numPr>
              <w:adjustRightInd/>
              <w:snapToGrid/>
              <w:spacing w:after="0"/>
              <w:ind w:firstLineChars="0"/>
              <w:jc w:val="both"/>
              <w:rPr>
                <w:rFonts w:ascii="Calibri" w:hAnsi="Calibri" w:eastAsia="宋体"/>
                <w:b/>
                <w:bCs/>
                <w:kern w:val="2"/>
                <w:sz w:val="21"/>
              </w:rPr>
            </w:pPr>
            <w:r>
              <w:rPr>
                <w:rFonts w:hint="eastAsia" w:ascii="Calibri" w:hAnsi="Calibri" w:eastAsia="宋体"/>
                <w:b/>
                <w:bCs/>
                <w:kern w:val="2"/>
                <w:sz w:val="21"/>
              </w:rPr>
              <w:t>技术要求</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 xml:space="preserve">标准1U硬件，1个console口，资产授权数量：40个；网口类别：6个千兆口；硬盘：2T*1；内存：8G；单电源日志处理能力2000EPS（峰值：4000EPS）；可扩展项：单个磁盘可扩展至4T(仅有1个盘位)。                                         </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采用解决方案包上传对产品进行功能扩展，无需要代码开发；</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支持kafka日志接收转发、大数据安全域同步、APT沙箱报告转发等大数据联调功能；</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支持手动或按周期自动备份系统配置，可随时对系统资产等配置进行还原操作，且自动备份周期与备份包个数可配；支持系统配置备份自动备份至远程服务器；</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支持常见的虚拟机环境日志收集，包括Xen、VMWare、Hyper-V等；</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三维关联分析；支持通过资产、安全知识库、弱点库三个维度分析事件是否存在威胁，并形成关联事件；</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通过在目标主机上安装Agent程序，支持监测目标主机的CPU利用率、内存使用率、磁盘使用率、磁盘使用情况、流量等信息；</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磁盘空间阈值告警，当磁盘使用率达到设定的阈值时可产生并外发告警；资产性能监控异常告警，对于监控的资产系统资源进行监测当指定指标使用率达到设定的阈值时可产生并外发告警；资产状态监控，当资产处于不活跃状态时可产生并外发告警；远程仓库状态监测可告警，当远程仓库可用性检测失败或备份包自动上传失败时可产生并外发告警；</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用户支持双因子认证登录，双因子认证令牌支持绑定至具体用户；</w:t>
            </w:r>
          </w:p>
          <w:p>
            <w:pPr>
              <w:pStyle w:val="4"/>
              <w:widowControl w:val="0"/>
              <w:numPr>
                <w:ilvl w:val="0"/>
                <w:numId w:val="6"/>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支持分布式部署，支持页面一键添加子节点，自动进行绑定添加，采集器可以选择同步日志范围，按需转发数据。</w:t>
            </w:r>
          </w:p>
          <w:p>
            <w:pPr>
              <w:widowControl w:val="0"/>
              <w:adjustRightInd/>
              <w:snapToGrid/>
              <w:spacing w:after="0"/>
              <w:ind w:firstLine="480" w:firstLineChars="200"/>
              <w:jc w:val="both"/>
              <w:rPr>
                <w:rFonts w:hint="eastAsia" w:ascii="Calibri" w:hAnsi="Calibri" w:eastAsia="宋体"/>
                <w:kern w:val="2"/>
                <w:sz w:val="21"/>
              </w:rPr>
            </w:pPr>
            <w:r>
              <w:rPr>
                <w:rFonts w:ascii="宋体" w:hAnsi="宋体"/>
                <w:sz w:val="24"/>
                <w:szCs w:val="24"/>
              </w:rPr>
              <w:t>需提供制造商参数确认函</w:t>
            </w:r>
            <w:r>
              <w:rPr>
                <w:rFonts w:hint="eastAsia" w:ascii="宋体" w:hAnsi="宋体"/>
                <w:sz w:val="24"/>
                <w:szCs w:val="24"/>
              </w:rPr>
              <w:t>。</w:t>
            </w:r>
          </w:p>
        </w:tc>
        <w:tc>
          <w:tcPr>
            <w:tcW w:w="1062" w:type="dxa"/>
            <w:noWrap w:val="0"/>
            <w:vAlign w:val="center"/>
          </w:tcPr>
          <w:p>
            <w:pPr>
              <w:spacing w:after="0" w:line="240" w:lineRule="exact"/>
              <w:jc w:val="center"/>
              <w:rPr>
                <w:rFonts w:ascii="Calibri" w:hAnsi="Calibri" w:eastAsia="宋体"/>
                <w:kern w:val="2"/>
                <w:sz w:val="21"/>
              </w:rPr>
            </w:pPr>
            <w:r>
              <w:rPr>
                <w:rFonts w:hint="eastAsia" w:ascii="Calibri" w:hAnsi="Calibri" w:eastAsia="宋体"/>
                <w:kern w:val="2"/>
                <w:sz w:val="21"/>
              </w:rPr>
              <w:t>1</w:t>
            </w:r>
            <w:r>
              <w:rPr>
                <w:rFonts w:hint="eastAsia" w:ascii="黑体" w:hAnsi="黑体" w:eastAsia="黑体" w:cs="黑体"/>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0" w:hRule="atLeast"/>
        </w:trPr>
        <w:tc>
          <w:tcPr>
            <w:tcW w:w="1462" w:type="dxa"/>
            <w:noWrap w:val="0"/>
            <w:vAlign w:val="center"/>
          </w:tcPr>
          <w:p>
            <w:pPr>
              <w:spacing w:after="0" w:line="240" w:lineRule="exact"/>
              <w:jc w:val="center"/>
              <w:rPr>
                <w:rFonts w:ascii="Calibri" w:hAnsi="Calibri" w:eastAsia="宋体"/>
                <w:kern w:val="2"/>
                <w:sz w:val="21"/>
              </w:rPr>
            </w:pPr>
            <w:r>
              <w:rPr>
                <w:rFonts w:hint="eastAsia" w:ascii="Calibri" w:hAnsi="Calibri" w:eastAsia="宋体"/>
                <w:kern w:val="2"/>
                <w:sz w:val="21"/>
              </w:rPr>
              <w:t>杀毒软件</w:t>
            </w:r>
          </w:p>
        </w:tc>
        <w:tc>
          <w:tcPr>
            <w:tcW w:w="5913" w:type="dxa"/>
            <w:noWrap w:val="0"/>
            <w:vAlign w:val="top"/>
          </w:tcPr>
          <w:p>
            <w:pPr>
              <w:pStyle w:val="4"/>
              <w:widowControl w:val="0"/>
              <w:numPr>
                <w:ilvl w:val="0"/>
                <w:numId w:val="7"/>
              </w:numPr>
              <w:adjustRightInd/>
              <w:snapToGrid/>
              <w:spacing w:after="0"/>
              <w:ind w:firstLineChars="0"/>
              <w:jc w:val="both"/>
              <w:rPr>
                <w:rFonts w:ascii="Calibri" w:hAnsi="Calibri" w:eastAsia="宋体"/>
                <w:b/>
                <w:bCs/>
                <w:kern w:val="2"/>
                <w:sz w:val="21"/>
              </w:rPr>
            </w:pPr>
            <w:r>
              <w:rPr>
                <w:rFonts w:hint="eastAsia" w:ascii="Calibri" w:hAnsi="Calibri" w:eastAsia="宋体"/>
                <w:b/>
                <w:bCs/>
                <w:kern w:val="2"/>
                <w:sz w:val="21"/>
              </w:rPr>
              <w:t>功能描述</w:t>
            </w:r>
          </w:p>
          <w:p>
            <w:pPr>
              <w:pStyle w:val="4"/>
              <w:widowControl w:val="0"/>
              <w:numPr>
                <w:ilvl w:val="0"/>
                <w:numId w:val="8"/>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实现对终端的统一管理和策略下发，该管理中心需独占计算资源，不能与其他业务共享；</w:t>
            </w:r>
          </w:p>
          <w:p>
            <w:pPr>
              <w:pStyle w:val="4"/>
              <w:widowControl w:val="0"/>
              <w:numPr>
                <w:ilvl w:val="0"/>
                <w:numId w:val="8"/>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对主机进行病毒查杀、漏洞管理、性能监控功能，在系统防护方面还可做到主动防御、系统登录防护、系统进程防护、文件监控，还支持网络防护、勒索挖矿防御、外设管理等。</w:t>
            </w:r>
          </w:p>
          <w:p>
            <w:pPr>
              <w:pStyle w:val="4"/>
              <w:widowControl w:val="0"/>
              <w:numPr>
                <w:ilvl w:val="0"/>
                <w:numId w:val="7"/>
              </w:numPr>
              <w:adjustRightInd/>
              <w:snapToGrid/>
              <w:spacing w:after="0"/>
              <w:ind w:firstLineChars="0"/>
              <w:jc w:val="both"/>
              <w:rPr>
                <w:rFonts w:ascii="Calibri" w:hAnsi="Calibri" w:eastAsia="宋体"/>
                <w:b/>
                <w:bCs/>
                <w:kern w:val="2"/>
                <w:sz w:val="21"/>
              </w:rPr>
            </w:pPr>
            <w:r>
              <w:rPr>
                <w:rFonts w:hint="eastAsia" w:ascii="Calibri" w:hAnsi="Calibri" w:eastAsia="宋体"/>
                <w:b/>
                <w:bCs/>
                <w:kern w:val="2"/>
                <w:sz w:val="21"/>
              </w:rPr>
              <w:t>技术要求</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支持对CPU、内存、磁盘读写、网络上下行流量达到配置阈值时告警。支持对CPU、内存达到一定阈值时客户端进行熔断。</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支持对本机的扩展行为（信息收集、权限提升）进行监测，防止提权行为和信息泄露；</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识别渗透过程中的隧道代理（端口映射、端口转发、内网代理），可阻断隧道代理搭建行为。</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违规外联支持黑、白名单双模式，白名单模式可配置是否允许访问特定的网站和地址；黑名单模式可自定义恶意IP，支持黑名单告警和阻断。</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支持登录防护，包括以系统账号为粒度的异常登录防护、支持五个任意维度(任意地理位置，任意IP，任意域名，任意计算机名，任意时间)的系统登录访问策略设置。</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支持多引擎设置，包括默认引擎、深度扫描引擎；</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管理平台支持一键卸载客户端、一键设置客户端卸载密码、一键停止/恢复所有防护、一键解除绑定。</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支持对屏幕拍照泄密数据的行为进行溯源。</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产品适用于Windows PC防护支持Windows XP、Windows 7、Windows 8、Windows 10等操作系统并且支持不少于30台安全防护。</w:t>
            </w:r>
          </w:p>
          <w:p>
            <w:pPr>
              <w:pStyle w:val="4"/>
              <w:widowControl w:val="0"/>
              <w:numPr>
                <w:ilvl w:val="0"/>
                <w:numId w:val="9"/>
              </w:numPr>
              <w:adjustRightInd/>
              <w:snapToGrid/>
              <w:spacing w:after="0"/>
              <w:ind w:firstLineChars="0"/>
              <w:jc w:val="both"/>
              <w:rPr>
                <w:rFonts w:ascii="Calibri" w:hAnsi="Calibri" w:eastAsia="宋体"/>
                <w:kern w:val="2"/>
                <w:sz w:val="21"/>
              </w:rPr>
            </w:pPr>
            <w:r>
              <w:rPr>
                <w:rFonts w:hint="eastAsia" w:ascii="Calibri" w:hAnsi="Calibri" w:eastAsia="宋体"/>
                <w:kern w:val="2"/>
                <w:sz w:val="21"/>
              </w:rPr>
              <w:t>机架式服务器，六核处理器，16GB DDR4内存，1块1T SATA 7.2K 3.5寸硬盘，支持RAID 0/1/5/6/10/50； 配置冗余电源，2个或以上千兆以太网口，支持虚拟化加速、网络加速、负载均衡、冗余等高级功能。</w:t>
            </w:r>
            <w:r>
              <w:rPr>
                <w:rFonts w:ascii="Calibri" w:hAnsi="Calibri" w:eastAsia="宋体"/>
                <w:kern w:val="2"/>
                <w:sz w:val="21"/>
              </w:rPr>
              <w:t xml:space="preserve"> </w:t>
            </w:r>
          </w:p>
          <w:p>
            <w:pPr>
              <w:widowControl w:val="0"/>
              <w:adjustRightInd/>
              <w:snapToGrid/>
              <w:spacing w:after="0"/>
              <w:ind w:firstLine="480" w:firstLineChars="200"/>
              <w:jc w:val="both"/>
              <w:rPr>
                <w:rFonts w:hint="eastAsia" w:ascii="Calibri" w:hAnsi="Calibri" w:eastAsia="宋体"/>
                <w:kern w:val="2"/>
                <w:sz w:val="21"/>
              </w:rPr>
            </w:pPr>
            <w:r>
              <w:rPr>
                <w:rFonts w:ascii="宋体" w:hAnsi="宋体"/>
                <w:sz w:val="24"/>
                <w:szCs w:val="24"/>
              </w:rPr>
              <w:t>需提供制造商参数确认函</w:t>
            </w:r>
            <w:r>
              <w:rPr>
                <w:rFonts w:hint="eastAsia" w:ascii="宋体" w:hAnsi="宋体"/>
                <w:sz w:val="24"/>
                <w:szCs w:val="24"/>
              </w:rPr>
              <w:t>。</w:t>
            </w:r>
          </w:p>
        </w:tc>
        <w:tc>
          <w:tcPr>
            <w:tcW w:w="1062" w:type="dxa"/>
            <w:noWrap w:val="0"/>
            <w:vAlign w:val="center"/>
          </w:tcPr>
          <w:p>
            <w:pPr>
              <w:spacing w:after="0" w:line="240" w:lineRule="exact"/>
              <w:jc w:val="center"/>
              <w:rPr>
                <w:rFonts w:ascii="Calibri" w:hAnsi="Calibri" w:eastAsia="宋体"/>
                <w:kern w:val="2"/>
                <w:sz w:val="21"/>
              </w:rPr>
            </w:pPr>
            <w:r>
              <w:rPr>
                <w:rFonts w:hint="eastAsia" w:ascii="Calibri" w:hAnsi="Calibri" w:eastAsia="宋体"/>
                <w:kern w:val="2"/>
                <w:sz w:val="21"/>
              </w:rPr>
              <w:t>1</w:t>
            </w:r>
            <w:r>
              <w:rPr>
                <w:rFonts w:hint="eastAsia" w:ascii="黑体" w:hAnsi="黑体" w:eastAsia="黑体" w:cs="黑体"/>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462" w:type="dxa"/>
            <w:noWrap w:val="0"/>
            <w:vAlign w:val="center"/>
          </w:tcPr>
          <w:p>
            <w:pPr>
              <w:spacing w:after="0" w:line="240" w:lineRule="exact"/>
              <w:jc w:val="center"/>
              <w:rPr>
                <w:rFonts w:ascii="Calibri" w:hAnsi="Calibri" w:eastAsia="宋体"/>
                <w:kern w:val="2"/>
                <w:sz w:val="21"/>
              </w:rPr>
            </w:pPr>
            <w:r>
              <w:rPr>
                <w:rFonts w:hint="eastAsia" w:ascii="Calibri" w:hAnsi="Calibri" w:eastAsia="宋体"/>
                <w:kern w:val="2"/>
                <w:sz w:val="21"/>
              </w:rPr>
              <w:t>网络安全巡检服务</w:t>
            </w:r>
          </w:p>
        </w:tc>
        <w:tc>
          <w:tcPr>
            <w:tcW w:w="5913" w:type="dxa"/>
            <w:noWrap w:val="0"/>
            <w:vAlign w:val="center"/>
          </w:tcPr>
          <w:p>
            <w:pPr>
              <w:widowControl w:val="0"/>
              <w:adjustRightInd/>
              <w:snapToGrid/>
              <w:spacing w:after="0"/>
              <w:jc w:val="both"/>
              <w:rPr>
                <w:rFonts w:ascii="Calibri" w:hAnsi="Calibri" w:eastAsia="宋体"/>
                <w:kern w:val="2"/>
                <w:sz w:val="21"/>
              </w:rPr>
            </w:pPr>
            <w:r>
              <w:rPr>
                <w:rFonts w:hint="eastAsia" w:ascii="Calibri" w:hAnsi="Calibri" w:eastAsia="宋体"/>
                <w:kern w:val="2"/>
                <w:sz w:val="21"/>
              </w:rPr>
              <w:t>提供3年不定期对</w:t>
            </w:r>
            <w:r>
              <w:rPr>
                <w:rFonts w:hint="eastAsia" w:ascii="Calibri" w:hAnsi="Calibri" w:eastAsia="宋体"/>
                <w:kern w:val="2"/>
                <w:sz w:val="21"/>
                <w:lang w:eastAsia="zh-CN"/>
              </w:rPr>
              <w:t>水利综合信息管理</w:t>
            </w:r>
            <w:r>
              <w:rPr>
                <w:rFonts w:hint="eastAsia" w:ascii="Calibri" w:hAnsi="Calibri" w:eastAsia="宋体"/>
                <w:kern w:val="2"/>
                <w:sz w:val="21"/>
              </w:rPr>
              <w:t>系统网络安全巡检、软件升级服务以及网络安全故障现场支持。</w:t>
            </w:r>
          </w:p>
        </w:tc>
        <w:tc>
          <w:tcPr>
            <w:tcW w:w="1062" w:type="dxa"/>
            <w:noWrap w:val="0"/>
            <w:vAlign w:val="center"/>
          </w:tcPr>
          <w:p>
            <w:pPr>
              <w:spacing w:after="0" w:line="240" w:lineRule="exact"/>
              <w:jc w:val="center"/>
              <w:rPr>
                <w:rFonts w:ascii="Calibri" w:hAnsi="Calibri" w:eastAsia="宋体"/>
                <w:kern w:val="2"/>
                <w:sz w:val="21"/>
              </w:rPr>
            </w:pPr>
            <w:r>
              <w:rPr>
                <w:rFonts w:hint="eastAsia" w:ascii="Calibri" w:hAnsi="Calibri" w:eastAsia="宋体"/>
                <w:kern w:val="2"/>
                <w:sz w:val="21"/>
              </w:rPr>
              <w:t>1项</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2E2"/>
    <w:multiLevelType w:val="multilevel"/>
    <w:tmpl w:val="299A22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C92D55"/>
    <w:multiLevelType w:val="multilevel"/>
    <w:tmpl w:val="40C92D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F773DDF"/>
    <w:multiLevelType w:val="multilevel"/>
    <w:tmpl w:val="4F773DD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677906"/>
    <w:multiLevelType w:val="multilevel"/>
    <w:tmpl w:val="6567790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B559C5"/>
    <w:multiLevelType w:val="multilevel"/>
    <w:tmpl w:val="6BB559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2E5319"/>
    <w:multiLevelType w:val="multilevel"/>
    <w:tmpl w:val="702E53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6197882"/>
    <w:multiLevelType w:val="multilevel"/>
    <w:tmpl w:val="7619788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AE917F0"/>
    <w:multiLevelType w:val="multilevel"/>
    <w:tmpl w:val="7AE917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FEA0C42"/>
    <w:multiLevelType w:val="multilevel"/>
    <w:tmpl w:val="7FEA0C4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10DFC"/>
    <w:rsid w:val="27FD5FC1"/>
    <w:rsid w:val="6F910D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2021-07-07T01:48:00Z</dcterms:created>
  <dc:creator>test</dc:creator>
  <cp:lastModifiedBy>gl</cp:lastModifiedBy>
  <dcterms:modified xsi:type="dcterms:W3CDTF">2021-07-07T17:28:47Z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