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80" w:lineRule="exact"/>
        <w:jc w:val="center"/>
        <w:rPr>
          <w:rFonts w:hint="eastAsia" w:eastAsia="方正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80" w:lineRule="exact"/>
        <w:jc w:val="center"/>
        <w:rPr>
          <w:rFonts w:hint="eastAsia" w:eastAsia="方正仿宋"/>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after="157" w:afterLines="50" w:line="580" w:lineRule="exact"/>
        <w:jc w:val="center"/>
        <w:textAlignment w:val="auto"/>
        <w:rPr>
          <w:rFonts w:hint="eastAsia" w:eastAsia="方正仿宋"/>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b w:val="0"/>
          <w:bCs w:val="0"/>
          <w:color w:val="FF0000"/>
          <w:spacing w:val="-17"/>
          <w:w w:val="56"/>
          <w:sz w:val="84"/>
          <w:szCs w:val="84"/>
          <w:lang w:eastAsia="zh-CN"/>
        </w:rPr>
      </w:pPr>
      <w:r>
        <w:rPr>
          <w:rFonts w:hint="eastAsia" w:ascii="方正小标宋_GBK" w:hAnsi="方正小标宋_GBK" w:eastAsia="方正小标宋_GBK" w:cs="方正小标宋_GBK"/>
          <w:b w:val="0"/>
          <w:bCs w:val="0"/>
          <w:color w:val="FF0000"/>
          <w:spacing w:val="-17"/>
          <w:w w:val="56"/>
          <w:sz w:val="84"/>
          <w:szCs w:val="84"/>
          <w:lang w:eastAsia="zh-CN"/>
        </w:rPr>
        <w:t>上饶市民生实事工程实施领导小组办公室文件</w:t>
      </w:r>
    </w:p>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eastAsia="方正仿宋"/>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8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饶民生办〔</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val="0"/>
        <w:topLinePunct w:val="0"/>
        <w:autoSpaceDE/>
        <w:autoSpaceDN/>
        <w:bidi w:val="0"/>
        <w:spacing w:line="62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color w:val="000000" w:themeColor="text1"/>
          <w:sz w:val="4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71120</wp:posOffset>
                </wp:positionV>
                <wp:extent cx="5689600" cy="0"/>
                <wp:effectExtent l="0" t="10795" r="6350" b="17780"/>
                <wp:wrapNone/>
                <wp:docPr id="2" name="直接连接符 2"/>
                <wp:cNvGraphicFramePr/>
                <a:graphic xmlns:a="http://schemas.openxmlformats.org/drawingml/2006/main">
                  <a:graphicData uri="http://schemas.microsoft.com/office/word/2010/wordprocessingShape">
                    <wps:wsp>
                      <wps:cNvCnPr/>
                      <wps:spPr>
                        <a:xfrm>
                          <a:off x="1076325" y="4540250"/>
                          <a:ext cx="5689600" cy="0"/>
                        </a:xfrm>
                        <a:prstGeom prst="line">
                          <a:avLst/>
                        </a:prstGeom>
                        <a:ln w="2222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3.75pt;margin-top:5.6pt;height:0pt;width:448pt;z-index:251659264;mso-width-relative:page;mso-height-relative:page;" filled="f" stroked="t" coordsize="21600,21600" o:gfxdata="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O2Dq1QAAAAgBAAAPAAAAAAAAAAEAIAAAACIAAABkcnMvZG93bnJldi54bWxQSwECFAAU&#10;AAAACACHTuJA8DobhfQBAAC+AwAADgAAAAAAAAABACAAAAAkAQAAZHJzL2Uyb0RvYy54bWxQSwUG&#10;AAAAAAYABgBZAQAAigUAAAAA&#10;">
                <v:fill on="f" focussize="0,0"/>
                <v:stroke weight="1.75pt" color="#FF0000 [3205]" miterlimit="8" joinstyle="miter"/>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上饶市民生实事工程实施领导小组办公室</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关于印发</w:t>
      </w:r>
      <w:r>
        <w:rPr>
          <w:rFonts w:hint="default" w:ascii="Times New Roman" w:hAnsi="Times New Roman" w:eastAsia="方正小标宋简体" w:cs="Times New Roman"/>
          <w:color w:val="000000" w:themeColor="text1"/>
          <w:spacing w:val="0"/>
          <w:sz w:val="44"/>
          <w:szCs w:val="44"/>
          <w:lang w:val="en-US" w:eastAsia="zh-CN"/>
          <w14:textFill>
            <w14:solidFill>
              <w14:schemeClr w14:val="tx1"/>
            </w14:solidFill>
          </w14:textFill>
        </w:rPr>
        <w:t>2023</w:t>
      </w: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年民生实事具体</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实施方案的通知</w:t>
      </w: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各县（市、区）人民政府、上饶经济技术开发区、三清山风景名胜区、上饶高铁经济试验区，市直有关部门：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为贯彻落实《江西省人民政府关于印发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年民生实事安排方案的通知》（赣府发〔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号）、《上饶市人民政府关于印发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年民生实事安排方案的通知》（饶府发〔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号）文件，现将《</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年民生实事具体实施方案》印发给你们，请认真贯彻执行。</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附件：</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.关于“加大创业担保贷款扶持力度”的实施方案</w:t>
      </w:r>
    </w:p>
    <w:p>
      <w:pPr>
        <w:keepNext w:val="0"/>
        <w:keepLines w:val="0"/>
        <w:pageBreakBefore w:val="0"/>
        <w:widowControl w:val="0"/>
        <w:kinsoku/>
        <w:wordWrap/>
        <w:overflowPunct w:val="0"/>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.关于“提高低保对象等困难群众基本生活保障标</w:t>
      </w:r>
    </w:p>
    <w:p>
      <w:pPr>
        <w:keepNext w:val="0"/>
        <w:keepLines w:val="0"/>
        <w:pageBreakBefore w:val="0"/>
        <w:widowControl w:val="0"/>
        <w:kinsoku/>
        <w:wordWrap/>
        <w:overflowPunct w:val="0"/>
        <w:topLinePunct w:val="0"/>
        <w:autoSpaceDE/>
        <w:autoSpaceDN/>
        <w:bidi w:val="0"/>
        <w:adjustRightInd/>
        <w:snapToGrid/>
        <w:spacing w:line="580" w:lineRule="exact"/>
        <w:ind w:firstLine="1860" w:firstLineChars="600"/>
        <w:jc w:val="both"/>
        <w:textAlignment w:val="auto"/>
        <w:rPr>
          <w:color w:val="000000" w:themeColor="text1"/>
          <w:spacing w:val="0"/>
          <w14:textFill>
            <w14:solidFill>
              <w14:schemeClr w14:val="tx1"/>
            </w14:solidFill>
          </w14:textFill>
        </w:rPr>
      </w:pPr>
      <w:r>
        <w:rPr>
          <w:rFonts w:ascii="仿宋_GB2312" w:hAnsi="宋体" w:eastAsia="仿宋_GB2312" w:cs="仿宋_GB2312"/>
          <w:color w:val="000000" w:themeColor="text1"/>
          <w:spacing w:val="0"/>
          <w:kern w:val="0"/>
          <w:sz w:val="31"/>
          <w:szCs w:val="31"/>
          <w:lang w:val="en-US" w:eastAsia="zh-CN" w:bidi="ar"/>
          <w14:textFill>
            <w14:solidFill>
              <w14:schemeClr w14:val="tx1"/>
            </w14:solidFill>
          </w14:textFill>
        </w:rPr>
        <w:t>准”的实施方案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3</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.关于“改善残疾人生活和照顾服务”的实施方案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4</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.关于“关心关爱城乡孤儿、事实无人抚养儿童和</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550" w:firstLineChars="500"/>
        <w:jc w:val="left"/>
        <w:textAlignment w:val="auto"/>
        <w:rPr>
          <w:color w:val="000000" w:themeColor="text1"/>
          <w:spacing w:val="0"/>
          <w14:textFill>
            <w14:solidFill>
              <w14:schemeClr w14:val="tx1"/>
            </w14:solidFill>
          </w14:textFill>
        </w:rPr>
      </w:pP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 xml:space="preserve">留守儿童”的实施方案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5</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 xml:space="preserve">.关于“推进养老服务体系建设”的实施方案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6</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.关于“加大婴幼儿入托补贴补助力度”的实施方案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7</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.关于“为适龄女生免费接种人乳头瘤病毒疫苗”的</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550" w:firstLineChars="500"/>
        <w:jc w:val="left"/>
        <w:textAlignment w:val="auto"/>
        <w:rPr>
          <w:color w:val="000000" w:themeColor="text1"/>
          <w:spacing w:val="0"/>
          <w14:textFill>
            <w14:solidFill>
              <w14:schemeClr w14:val="tx1"/>
            </w14:solidFill>
          </w14:textFill>
        </w:rPr>
      </w:pP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8</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 xml:space="preserve">.关于“免费提供出生缺陷防控服务”的实施方案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color w:val="000000" w:themeColor="text1"/>
          <w:spacing w:val="0"/>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9</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.关于“开展基层人工智能辅助智慧医疗系统建设”</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550" w:firstLineChars="500"/>
        <w:jc w:val="left"/>
        <w:textAlignment w:val="auto"/>
        <w:rPr>
          <w:color w:val="000000" w:themeColor="text1"/>
          <w:spacing w:val="0"/>
          <w14:textFill>
            <w14:solidFill>
              <w14:schemeClr w14:val="tx1"/>
            </w14:solidFill>
          </w14:textFill>
        </w:rPr>
      </w:pP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的实施方案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40" w:firstLineChars="400"/>
        <w:jc w:val="left"/>
        <w:textAlignment w:val="auto"/>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1"/>
          <w:szCs w:val="31"/>
          <w:lang w:val="en-US" w:eastAsia="zh-CN" w:bidi="ar"/>
          <w14:textFill>
            <w14:solidFill>
              <w14:schemeClr w14:val="tx1"/>
            </w14:solidFill>
          </w14:textFill>
        </w:rPr>
        <w:t>10</w:t>
      </w:r>
      <w:r>
        <w:rPr>
          <w:rFonts w:hint="eastAsia" w:ascii="仿宋_GB2312" w:hAnsi="宋体" w:eastAsia="仿宋_GB2312" w:cs="仿宋_GB2312"/>
          <w:color w:val="000000" w:themeColor="text1"/>
          <w:spacing w:val="0"/>
          <w:kern w:val="0"/>
          <w:sz w:val="31"/>
          <w:szCs w:val="31"/>
          <w:lang w:val="en-US" w:eastAsia="zh-CN" w:bidi="ar"/>
          <w14:textFill>
            <w14:solidFill>
              <w14:schemeClr w14:val="tx1"/>
            </w14:solidFill>
          </w14:textFill>
        </w:rPr>
        <w:t>.关于“加大自动体外除颤器投放力度”的实施方案</w:t>
      </w: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textAlignment w:val="auto"/>
        <w:rPr>
          <w:rFonts w:hint="eastAsia"/>
          <w:color w:val="000000" w:themeColor="text1"/>
          <w:spacing w:val="0"/>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上饶市民生实事工程实</w:t>
      </w:r>
    </w:p>
    <w:p>
      <w:pPr>
        <w:keepNext w:val="0"/>
        <w:keepLines w:val="0"/>
        <w:pageBreakBefore w:val="0"/>
        <w:widowControl w:val="0"/>
        <w:kinsoku/>
        <w:wordWrap/>
        <w:overflowPunct w:val="0"/>
        <w:topLinePunct w:val="0"/>
        <w:autoSpaceDE/>
        <w:autoSpaceDN/>
        <w:bidi w:val="0"/>
        <w:adjustRightInd/>
        <w:snapToGrid/>
        <w:spacing w:line="580" w:lineRule="exact"/>
        <w:ind w:firstLine="4876" w:firstLineChars="1219"/>
        <w:textAlignment w:val="auto"/>
        <w:rPr>
          <w:rFonts w:hint="eastAsia" w:ascii="仿宋_GB2312" w:hAnsi="仿宋_GB2312" w:eastAsia="仿宋_GB2312" w:cs="仿宋_GB2312"/>
          <w:color w:val="000000" w:themeColor="text1"/>
          <w:spacing w:val="4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40"/>
          <w:sz w:val="32"/>
          <w:szCs w:val="32"/>
          <w:lang w:val="en-US" w:eastAsia="zh-CN"/>
          <w14:textFill>
            <w14:solidFill>
              <w14:schemeClr w14:val="tx1"/>
            </w14:solidFill>
          </w14:textFill>
        </w:rPr>
        <w:t>施领导小组办公室</w:t>
      </w:r>
    </w:p>
    <w:p>
      <w:pPr>
        <w:keepNext w:val="0"/>
        <w:keepLines w:val="0"/>
        <w:pageBreakBefore w:val="0"/>
        <w:widowControl w:val="0"/>
        <w:kinsoku/>
        <w:wordWrap/>
        <w:overflowPunct w:val="0"/>
        <w:topLinePunct w:val="0"/>
        <w:autoSpaceDE/>
        <w:autoSpaceDN/>
        <w:bidi w:val="0"/>
        <w:adjustRightInd/>
        <w:snapToGrid/>
        <w:spacing w:line="580" w:lineRule="exact"/>
        <w:ind w:firstLine="4800" w:firstLineChars="1500"/>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（上饶市财政局代章）</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313" w:beforeLines="100" w:line="240" w:lineRule="auto"/>
        <w:ind w:firstLine="320" w:firstLineChars="100"/>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lang w:val="en-US" w:eastAsia="zh-CN"/>
          <w14:textFill>
            <w14:solidFill>
              <w14:schemeClr w14:val="tx1"/>
            </w14:solidFill>
          </w14:textFill>
        </w:rPr>
        <w:t>信息公开选项：主动公开</w:t>
      </w:r>
    </w:p>
    <w:p>
      <w:pPr>
        <w:keepNext w:val="0"/>
        <w:keepLines w:val="0"/>
        <w:pageBreakBefore w:val="0"/>
        <w:widowControl w:val="0"/>
        <w:pBdr>
          <w:top w:val="single" w:color="auto" w:sz="4" w:space="0"/>
          <w:bottom w:val="single" w:color="auto" w:sz="4" w:space="0"/>
        </w:pBdr>
        <w:kinsoku/>
        <w:wordWrap/>
        <w:overflowPunct w:val="0"/>
        <w:topLinePunct w:val="0"/>
        <w:autoSpaceDE/>
        <w:autoSpaceDN/>
        <w:bidi w:val="0"/>
        <w:adjustRightInd/>
        <w:snapToGrid/>
        <w:spacing w:line="240" w:lineRule="auto"/>
        <w:jc w:val="center"/>
        <w:textAlignment w:val="auto"/>
        <w:rPr>
          <w:rFonts w:hint="eastAsia" w:ascii="仿宋" w:hAnsi="仿宋" w:eastAsia="仿宋_GB2312"/>
          <w:color w:val="000000" w:themeColor="text1"/>
          <w:spacing w:val="0"/>
          <w:sz w:val="28"/>
          <w:szCs w:val="28"/>
          <w14:textFill>
            <w14:solidFill>
              <w14:schemeClr w14:val="tx1"/>
            </w14:solidFill>
          </w14:textFill>
        </w:rPr>
      </w:pPr>
      <w:r>
        <w:rPr>
          <w:rFonts w:hint="eastAsia" w:ascii="仿宋" w:hAnsi="仿宋" w:eastAsia="仿宋_GB2312"/>
          <w:color w:val="000000" w:themeColor="text1"/>
          <w:spacing w:val="0"/>
          <w:sz w:val="28"/>
          <w:szCs w:val="28"/>
          <w14:textFill>
            <w14:solidFill>
              <w14:schemeClr w14:val="tx1"/>
            </w14:solidFill>
          </w14:textFill>
        </w:rPr>
        <w:t>上饶市</w:t>
      </w:r>
      <w:r>
        <w:rPr>
          <w:rFonts w:hint="eastAsia" w:ascii="仿宋" w:hAnsi="仿宋" w:eastAsia="仿宋_GB2312"/>
          <w:color w:val="000000" w:themeColor="text1"/>
          <w:spacing w:val="0"/>
          <w:sz w:val="28"/>
          <w:szCs w:val="28"/>
          <w:lang w:eastAsia="zh-CN"/>
          <w14:textFill>
            <w14:solidFill>
              <w14:schemeClr w14:val="tx1"/>
            </w14:solidFill>
          </w14:textFill>
        </w:rPr>
        <w:t>财政局</w:t>
      </w:r>
      <w:r>
        <w:rPr>
          <w:rFonts w:hint="eastAsia" w:ascii="仿宋" w:hAnsi="仿宋" w:eastAsia="仿宋_GB2312"/>
          <w:color w:val="000000" w:themeColor="text1"/>
          <w:spacing w:val="0"/>
          <w:sz w:val="28"/>
          <w:szCs w:val="28"/>
          <w14:textFill>
            <w14:solidFill>
              <w14:schemeClr w14:val="tx1"/>
            </w14:solidFill>
          </w14:textFill>
        </w:rPr>
        <w:t xml:space="preserve">办公室　    </w:t>
      </w:r>
      <w:r>
        <w:rPr>
          <w:rFonts w:hint="eastAsia" w:ascii="仿宋" w:hAnsi="仿宋" w:eastAsia="仿宋_GB2312"/>
          <w:color w:val="000000" w:themeColor="text1"/>
          <w:spacing w:val="0"/>
          <w:sz w:val="28"/>
          <w:szCs w:val="28"/>
          <w:lang w:val="en-US" w:eastAsia="zh-CN"/>
          <w14:textFill>
            <w14:solidFill>
              <w14:schemeClr w14:val="tx1"/>
            </w14:solidFill>
          </w14:textFill>
        </w:rPr>
        <w:t xml:space="preserve">           </w:t>
      </w:r>
      <w:r>
        <w:rPr>
          <w:rFonts w:hint="eastAsia" w:ascii="仿宋" w:hAnsi="仿宋" w:eastAsia="仿宋_GB2312"/>
          <w:color w:val="000000" w:themeColor="text1"/>
          <w:spacing w:val="0"/>
          <w:sz w:val="28"/>
          <w:szCs w:val="28"/>
          <w14:textFill>
            <w14:solidFill>
              <w14:schemeClr w14:val="tx1"/>
            </w14:solidFill>
          </w14:textFill>
        </w:rPr>
        <w:t xml:space="preserve">   </w:t>
      </w:r>
      <w:r>
        <w:rPr>
          <w:rFonts w:hint="eastAsia" w:ascii="仿宋" w:hAnsi="仿宋" w:eastAsia="仿宋_GB2312"/>
          <w:color w:val="000000" w:themeColor="text1"/>
          <w:spacing w:val="0"/>
          <w:sz w:val="28"/>
          <w:szCs w:val="28"/>
          <w:lang w:val="en-US" w:eastAsia="zh-CN"/>
          <w14:textFill>
            <w14:solidFill>
              <w14:schemeClr w14:val="tx1"/>
            </w14:solidFill>
          </w14:textFill>
        </w:rPr>
        <w:t xml:space="preserve"> </w:t>
      </w:r>
      <w:r>
        <w:rPr>
          <w:rFonts w:hint="eastAsia" w:ascii="仿宋" w:hAnsi="仿宋" w:eastAsia="仿宋_GB2312"/>
          <w:color w:val="000000" w:themeColor="text1"/>
          <w:spacing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sz w:val="28"/>
          <w:szCs w:val="28"/>
          <w14:textFill>
            <w14:solidFill>
              <w14:schemeClr w14:val="tx1"/>
            </w14:solidFill>
          </w14:textFill>
        </w:rPr>
        <w:t>202</w:t>
      </w:r>
      <w:r>
        <w:rPr>
          <w:rFonts w:hint="default" w:ascii="Times New Roman" w:hAnsi="Times New Roman" w:eastAsia="仿宋_GB2312" w:cs="Times New Roman"/>
          <w:color w:val="000000" w:themeColor="text1"/>
          <w:spacing w:val="0"/>
          <w:sz w:val="28"/>
          <w:szCs w:val="28"/>
          <w:lang w:val="en-US" w:eastAsia="zh-CN"/>
          <w14:textFill>
            <w14:solidFill>
              <w14:schemeClr w14:val="tx1"/>
            </w14:solidFill>
          </w14:textFill>
        </w:rPr>
        <w:t>3</w:t>
      </w:r>
      <w:r>
        <w:rPr>
          <w:rFonts w:hint="eastAsia" w:ascii="仿宋" w:hAnsi="仿宋" w:eastAsia="仿宋_GB2312"/>
          <w:color w:val="000000" w:themeColor="text1"/>
          <w:spacing w:val="0"/>
          <w:sz w:val="28"/>
          <w:szCs w:val="28"/>
          <w14:textFill>
            <w14:solidFill>
              <w14:schemeClr w14:val="tx1"/>
            </w14:solidFill>
          </w14:textFill>
        </w:rPr>
        <w:t>年</w:t>
      </w:r>
      <w:r>
        <w:rPr>
          <w:rFonts w:hint="default" w:ascii="Times New Roman" w:hAnsi="Times New Roman" w:eastAsia="仿宋_GB2312" w:cs="Times New Roman"/>
          <w:color w:val="000000" w:themeColor="text1"/>
          <w:spacing w:val="0"/>
          <w:sz w:val="28"/>
          <w:szCs w:val="28"/>
          <w:lang w:val="en-US" w:eastAsia="zh-CN"/>
          <w14:textFill>
            <w14:solidFill>
              <w14:schemeClr w14:val="tx1"/>
            </w14:solidFill>
          </w14:textFill>
        </w:rPr>
        <w:t>6</w:t>
      </w:r>
      <w:r>
        <w:rPr>
          <w:rFonts w:hint="eastAsia" w:ascii="仿宋" w:hAnsi="仿宋" w:eastAsia="仿宋_GB2312"/>
          <w:color w:val="000000" w:themeColor="text1"/>
          <w:spacing w:val="0"/>
          <w:sz w:val="28"/>
          <w:szCs w:val="28"/>
          <w14:textFill>
            <w14:solidFill>
              <w14:schemeClr w14:val="tx1"/>
            </w14:solidFill>
          </w14:textFill>
        </w:rPr>
        <w:t>月</w:t>
      </w:r>
      <w:r>
        <w:rPr>
          <w:rFonts w:hint="default" w:ascii="Times New Roman" w:hAnsi="Times New Roman" w:eastAsia="仿宋_GB2312" w:cs="Times New Roman"/>
          <w:color w:val="000000" w:themeColor="text1"/>
          <w:spacing w:val="0"/>
          <w:sz w:val="28"/>
          <w:szCs w:val="28"/>
          <w:lang w:val="en-US" w:eastAsia="zh-CN"/>
          <w14:textFill>
            <w14:solidFill>
              <w14:schemeClr w14:val="tx1"/>
            </w14:solidFill>
          </w14:textFill>
        </w:rPr>
        <w:t>1</w:t>
      </w:r>
      <w:r>
        <w:rPr>
          <w:rFonts w:hint="eastAsia" w:ascii="仿宋" w:hAnsi="仿宋" w:eastAsia="仿宋_GB2312"/>
          <w:color w:val="000000" w:themeColor="text1"/>
          <w:spacing w:val="0"/>
          <w:sz w:val="28"/>
          <w:szCs w:val="28"/>
          <w14:textFill>
            <w14:solidFill>
              <w14:schemeClr w14:val="tx1"/>
            </w14:solidFill>
          </w14:textFill>
        </w:rPr>
        <w:t>日印发</w:t>
      </w:r>
    </w:p>
    <w:p>
      <w:pPr>
        <w:keepNext w:val="0"/>
        <w:keepLines w:val="0"/>
        <w:pageBreakBefore w:val="0"/>
        <w:widowControl w:val="0"/>
        <w:kinsoku/>
        <w:wordWrap/>
        <w:overflowPunct w:val="0"/>
        <w:topLinePunct w:val="0"/>
        <w:autoSpaceDE/>
        <w:autoSpaceDN/>
        <w:bidi w:val="0"/>
        <w:rPr>
          <w:rFonts w:hint="eastAsia" w:ascii="仿宋" w:hAnsi="仿宋" w:eastAsia="仿宋_GB2312"/>
          <w:color w:val="000000" w:themeColor="text1"/>
          <w:spacing w:val="0"/>
          <w:sz w:val="28"/>
          <w:szCs w:val="28"/>
          <w14:textFill>
            <w14:solidFill>
              <w14:schemeClr w14:val="tx1"/>
            </w14:solidFill>
          </w14:textFill>
        </w:rPr>
      </w:pPr>
      <w:r>
        <w:rPr>
          <w:rFonts w:hint="eastAsia" w:ascii="仿宋" w:hAnsi="仿宋" w:eastAsia="仿宋_GB2312"/>
          <w:color w:val="000000" w:themeColor="text1"/>
          <w:spacing w:val="0"/>
          <w:sz w:val="28"/>
          <w:szCs w:val="28"/>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1</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关于“加大创业担保贷款扶持力度”的</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实施方案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150"/>
        <w:textAlignment w:val="auto"/>
        <w:rPr>
          <w:rFonts w:hint="eastAsia" w:ascii="方正仿宋_GBK" w:hAnsi="方正仿宋_GBK" w:eastAsia="方正仿宋_GBK" w:cs="方正仿宋_GBK"/>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15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为贯彻落实省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、市有关</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年民生实事</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的相关文件精神，高质量办好“</w:t>
      </w:r>
      <w:r>
        <w:rPr>
          <w:rFonts w:hint="eastAsia" w:ascii="仿宋_GB2312" w:hAnsi="仿宋_GB2312" w:eastAsia="仿宋_GB2312" w:cs="仿宋_GB2312"/>
          <w:color w:val="000000" w:themeColor="text1"/>
          <w:spacing w:val="0"/>
          <w:sz w:val="32"/>
          <w:szCs w:val="32"/>
          <w14:textFill>
            <w14:solidFill>
              <w14:schemeClr w14:val="tx1"/>
            </w14:solidFill>
          </w14:textFill>
        </w:rPr>
        <w:t>加大创业担保贷款扶持力度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民生实事</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结合</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我市</w:t>
      </w:r>
      <w:r>
        <w:rPr>
          <w:rFonts w:hint="eastAsia" w:ascii="仿宋_GB2312" w:hAnsi="仿宋_GB2312" w:eastAsia="仿宋_GB2312" w:cs="仿宋_GB2312"/>
          <w:color w:val="000000" w:themeColor="text1"/>
          <w:spacing w:val="0"/>
          <w:sz w:val="32"/>
          <w:szCs w:val="32"/>
          <w14:textFill>
            <w14:solidFill>
              <w14:schemeClr w14:val="tx1"/>
            </w14:solidFill>
          </w14:textFill>
        </w:rPr>
        <w:t>实际</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制定本实施方案</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一</w:t>
      </w:r>
      <w:r>
        <w:rPr>
          <w:rFonts w:hint="eastAsia" w:ascii="黑体" w:hAnsi="黑体" w:eastAsia="黑体" w:cs="黑体"/>
          <w:b w:val="0"/>
          <w:bCs w:val="0"/>
          <w:color w:val="000000" w:themeColor="text1"/>
          <w:spacing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0"/>
          <w:sz w:val="32"/>
          <w:szCs w:val="32"/>
          <w14:textFill>
            <w14:solidFill>
              <w14:schemeClr w14:val="tx1"/>
            </w14:solidFill>
          </w14:textFill>
        </w:rPr>
        <w:t>任务目标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一</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全年新增发放创业担保贷款</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14:textFill>
            <w14:solidFill>
              <w14:schemeClr w14:val="tx1"/>
            </w14:solidFill>
          </w14:textFill>
        </w:rPr>
        <w:t>亿元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其中</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新增扶持个人创业担保贷款占当年贷款发放量的</w:t>
      </w:r>
      <w:r>
        <w:rPr>
          <w:rFonts w:hint="default" w:ascii="Times New Roman" w:hAnsi="Times New Roman" w:eastAsia="仿宋_GB2312" w:cs="Times New Roman"/>
          <w:color w:val="000000" w:themeColor="text1"/>
          <w:spacing w:val="0"/>
          <w:sz w:val="32"/>
          <w:szCs w:val="32"/>
          <w14:textFill>
            <w14:solidFill>
              <w14:schemeClr w14:val="tx1"/>
            </w14:solidFill>
          </w14:textFill>
        </w:rPr>
        <w:t>50</w:t>
      </w:r>
      <w:r>
        <w:rPr>
          <w:rFonts w:hint="eastAsia" w:ascii="仿宋_GB2312" w:hAnsi="仿宋_GB2312" w:eastAsia="仿宋_GB2312" w:cs="仿宋_GB2312"/>
          <w:color w:val="000000" w:themeColor="text1"/>
          <w:spacing w:val="0"/>
          <w:sz w:val="32"/>
          <w:szCs w:val="32"/>
          <w14:textFill>
            <w14:solidFill>
              <w14:schemeClr w14:val="tx1"/>
            </w14:solidFill>
          </w14:textFill>
        </w:rPr>
        <w:t>%以上。</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新增担保基金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800</w:t>
      </w:r>
      <w:r>
        <w:rPr>
          <w:rFonts w:hint="eastAsia" w:ascii="仿宋_GB2312" w:hAnsi="仿宋_GB2312" w:eastAsia="仿宋_GB2312" w:cs="仿宋_GB2312"/>
          <w:color w:val="000000" w:themeColor="text1"/>
          <w:spacing w:val="0"/>
          <w:sz w:val="32"/>
          <w:szCs w:val="32"/>
          <w14:textFill>
            <w14:solidFill>
              <w14:schemeClr w14:val="tx1"/>
            </w14:solidFill>
          </w14:textFill>
        </w:rPr>
        <w:t>万元。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三</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到期贷款回收率在</w:t>
      </w:r>
      <w:r>
        <w:rPr>
          <w:rFonts w:hint="default" w:ascii="Times New Roman" w:hAnsi="Times New Roman" w:eastAsia="仿宋_GB2312" w:cs="Times New Roman"/>
          <w:color w:val="000000" w:themeColor="text1"/>
          <w:spacing w:val="0"/>
          <w:sz w:val="32"/>
          <w:szCs w:val="32"/>
          <w14:textFill>
            <w14:solidFill>
              <w14:schemeClr w14:val="tx1"/>
            </w14:solidFill>
          </w14:textFill>
        </w:rPr>
        <w:t>95</w:t>
      </w:r>
      <w:r>
        <w:rPr>
          <w:rFonts w:hint="eastAsia" w:ascii="仿宋_GB2312" w:hAnsi="仿宋_GB2312" w:eastAsia="仿宋_GB2312" w:cs="仿宋_GB2312"/>
          <w:color w:val="000000" w:themeColor="text1"/>
          <w:spacing w:val="0"/>
          <w:sz w:val="32"/>
          <w:szCs w:val="32"/>
          <w14:textFill>
            <w14:solidFill>
              <w14:schemeClr w14:val="tx1"/>
            </w14:solidFill>
          </w14:textFill>
        </w:rPr>
        <w:t>%以上。</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年新签订借款合同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含续贷新发放</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的个人创业担保贷款</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类群体原需个人承担利息部分全部予以免除</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其他群体原需个人承担利息部分的</w:t>
      </w:r>
      <w:r>
        <w:rPr>
          <w:rFonts w:hint="default" w:ascii="Times New Roman" w:hAnsi="Times New Roman" w:eastAsia="仿宋_GB2312" w:cs="Times New Roman"/>
          <w:color w:val="000000" w:themeColor="text1"/>
          <w:spacing w:val="0"/>
          <w:sz w:val="32"/>
          <w:szCs w:val="32"/>
          <w14:textFill>
            <w14:solidFill>
              <w14:schemeClr w14:val="tx1"/>
            </w14:solidFill>
          </w14:textFill>
        </w:rPr>
        <w:t>50</w:t>
      </w:r>
      <w:r>
        <w:rPr>
          <w:rFonts w:hint="eastAsia" w:ascii="仿宋_GB2312" w:hAnsi="仿宋_GB2312" w:eastAsia="仿宋_GB2312" w:cs="仿宋_GB2312"/>
          <w:color w:val="000000" w:themeColor="text1"/>
          <w:spacing w:val="0"/>
          <w:sz w:val="32"/>
          <w:szCs w:val="32"/>
          <w14:textFill>
            <w14:solidFill>
              <w14:schemeClr w14:val="tx1"/>
            </w14:solidFill>
          </w14:textFill>
        </w:rPr>
        <w:t>%予以免除</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政策执行期延长至</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二、实施内容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服务对象。</w:t>
      </w:r>
      <w:r>
        <w:rPr>
          <w:rFonts w:hint="eastAsia" w:ascii="仿宋_GB2312" w:hAnsi="仿宋_GB2312" w:eastAsia="仿宋_GB2312" w:cs="仿宋_GB2312"/>
          <w:color w:val="000000" w:themeColor="text1"/>
          <w:spacing w:val="0"/>
          <w:sz w:val="32"/>
          <w:szCs w:val="32"/>
          <w14:textFill>
            <w14:solidFill>
              <w14:schemeClr w14:val="tx1"/>
            </w14:solidFill>
          </w14:textFill>
        </w:rPr>
        <w:t>符合创业担保贷款申请条件的创业个人和小微企业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其中</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类群体指高校毕业生、就业困难人员、返乡创业农民工、脱贫人口、退捕渔民、复员转业退役军人。</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服务内容。</w:t>
      </w:r>
      <w:r>
        <w:rPr>
          <w:rFonts w:hint="eastAsia" w:ascii="仿宋_GB2312" w:hAnsi="仿宋_GB2312" w:eastAsia="仿宋_GB2312" w:cs="仿宋_GB2312"/>
          <w:color w:val="000000" w:themeColor="text1"/>
          <w:spacing w:val="0"/>
          <w:sz w:val="32"/>
          <w:szCs w:val="32"/>
          <w14:textFill>
            <w14:solidFill>
              <w14:schemeClr w14:val="tx1"/>
            </w14:solidFill>
          </w14:textFill>
        </w:rPr>
        <w:t>按照项目归属地原则</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由当地人社部门通过担保基金向银行担保或向银行推荐的方式</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帮助符合条件且需要资金扶持的创业个人或小微企业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向银行获得一定额度的融资。符合创业担保贷款申请条件的创业人员或小微企业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可按照《江西省创业担保贷款业务操作办法》</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赣人社发〔</w:t>
      </w:r>
      <w:r>
        <w:rPr>
          <w:rFonts w:hint="default" w:ascii="Times New Roman" w:hAnsi="Times New Roman" w:eastAsia="仿宋_GB2312" w:cs="Times New Roman"/>
          <w:color w:val="000000" w:themeColor="text1"/>
          <w:spacing w:val="0"/>
          <w:sz w:val="32"/>
          <w:szCs w:val="32"/>
          <w14:textFill>
            <w14:solidFill>
              <w14:schemeClr w14:val="tx1"/>
            </w14:solidFill>
          </w14:textFill>
        </w:rPr>
        <w:t>2021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13</w:t>
      </w:r>
      <w:r>
        <w:rPr>
          <w:rFonts w:hint="eastAsia" w:ascii="仿宋_GB2312" w:hAnsi="仿宋_GB2312" w:eastAsia="仿宋_GB2312" w:cs="仿宋_GB2312"/>
          <w:color w:val="000000" w:themeColor="text1"/>
          <w:spacing w:val="0"/>
          <w:sz w:val="32"/>
          <w:szCs w:val="32"/>
          <w14:textFill>
            <w14:solidFill>
              <w14:schemeClr w14:val="tx1"/>
            </w14:solidFill>
          </w14:textFill>
        </w:rPr>
        <w:t>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的有关规定申请创业担保贷款</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对符合贴息条件的创业担保贷款利息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无需借款人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另行提出申请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由各地创业担保贷款业务经办机构根据核实的人员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名单和经办银行贴息申报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在复核无误后按季拨付给经办银行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经办银行为借款人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直接办理贴息。</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服务标准。</w:t>
      </w:r>
      <w:r>
        <w:rPr>
          <w:rFonts w:hint="eastAsia" w:ascii="仿宋_GB2312" w:hAnsi="仿宋_GB2312" w:eastAsia="仿宋_GB2312" w:cs="仿宋_GB2312"/>
          <w:color w:val="000000" w:themeColor="text1"/>
          <w:spacing w:val="0"/>
          <w:sz w:val="32"/>
          <w:szCs w:val="32"/>
          <w14:textFill>
            <w14:solidFill>
              <w14:schemeClr w14:val="tx1"/>
            </w14:solidFill>
          </w14:textFill>
        </w:rPr>
        <w:t>对符合申请条件的个人创业,最高额度为</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eastAsia" w:ascii="仿宋_GB2312" w:hAnsi="仿宋_GB2312" w:eastAsia="仿宋_GB2312" w:cs="仿宋_GB2312"/>
          <w:color w:val="000000" w:themeColor="text1"/>
          <w:spacing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具有大专以上学历、初级以上专业技术职称、三级以上职业资格或职业等级的个人创业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可申请</w:t>
      </w:r>
      <w:r>
        <w:rPr>
          <w:rFonts w:hint="default" w:ascii="Times New Roman" w:hAnsi="Times New Roman" w:eastAsia="仿宋_GB2312" w:cs="Times New Roman"/>
          <w:color w:val="000000" w:themeColor="text1"/>
          <w:spacing w:val="0"/>
          <w:sz w:val="32"/>
          <w:szCs w:val="32"/>
          <w14:textFill>
            <w14:solidFill>
              <w14:schemeClr w14:val="tx1"/>
            </w14:solidFill>
          </w14:textFill>
        </w:rPr>
        <w:t>30</w:t>
      </w:r>
      <w:r>
        <w:rPr>
          <w:rFonts w:hint="eastAsia" w:ascii="仿宋_GB2312" w:hAnsi="仿宋_GB2312" w:eastAsia="仿宋_GB2312" w:cs="仿宋_GB2312"/>
          <w:color w:val="000000" w:themeColor="text1"/>
          <w:spacing w:val="0"/>
          <w:sz w:val="32"/>
          <w:szCs w:val="32"/>
          <w14:textFill>
            <w14:solidFill>
              <w14:schemeClr w14:val="tx1"/>
            </w14:solidFill>
          </w14:textFill>
        </w:rPr>
        <w:t>万元以内额度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对合伙创业或组织起来共同创业的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可根据符合条件的合伙创业人数适当提高额度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贷款金额最高不超过</w:t>
      </w:r>
      <w:r>
        <w:rPr>
          <w:rFonts w:hint="default" w:ascii="Times New Roman" w:hAnsi="Times New Roman" w:eastAsia="仿宋_GB2312" w:cs="Times New Roman"/>
          <w:color w:val="000000" w:themeColor="text1"/>
          <w:spacing w:val="0"/>
          <w:sz w:val="32"/>
          <w:szCs w:val="32"/>
          <w14:textFill>
            <w14:solidFill>
              <w14:schemeClr w14:val="tx1"/>
            </w14:solidFill>
          </w14:textFill>
        </w:rPr>
        <w:t>200</w:t>
      </w:r>
      <w:r>
        <w:rPr>
          <w:rFonts w:hint="eastAsia" w:ascii="仿宋_GB2312" w:hAnsi="仿宋_GB2312" w:eastAsia="仿宋_GB2312" w:cs="仿宋_GB2312"/>
          <w:color w:val="000000" w:themeColor="text1"/>
          <w:spacing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对符合条件的小微企业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贷款额度最高不超过</w:t>
      </w:r>
      <w:r>
        <w:rPr>
          <w:rFonts w:hint="default" w:ascii="Times New Roman" w:hAnsi="Times New Roman" w:eastAsia="仿宋_GB2312" w:cs="Times New Roman"/>
          <w:color w:val="000000" w:themeColor="text1"/>
          <w:spacing w:val="0"/>
          <w:sz w:val="32"/>
          <w:szCs w:val="32"/>
          <w14:textFill>
            <w14:solidFill>
              <w14:schemeClr w14:val="tx1"/>
            </w14:solidFill>
          </w14:textFill>
        </w:rPr>
        <w:t>600</w:t>
      </w:r>
      <w:r>
        <w:rPr>
          <w:rFonts w:hint="eastAsia" w:ascii="仿宋_GB2312" w:hAnsi="仿宋_GB2312" w:eastAsia="仿宋_GB2312" w:cs="仿宋_GB2312"/>
          <w:color w:val="000000" w:themeColor="text1"/>
          <w:spacing w:val="0"/>
          <w:sz w:val="32"/>
          <w:szCs w:val="32"/>
          <w14:textFill>
            <w14:solidFill>
              <w14:schemeClr w14:val="tx1"/>
            </w14:solidFill>
          </w14:textFill>
        </w:rPr>
        <w:t>万元。个人创业担保贷款期限一轮最长不超过</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小微企业创业担保贷款期限一轮最长不超过</w:t>
      </w: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年。对还款积极、带动就业能力强、创业项目好的借款个人和小微企业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可继续提供创业担保贷款扶持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累计不超过</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三、实施步骤</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筹备阶段</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1</w:t>
      </w:r>
      <w:r>
        <w:rPr>
          <w:rFonts w:hint="eastAsia" w:ascii="楷体_GB2312" w:hAnsi="楷体_GB2312" w:eastAsia="楷体_GB2312" w:cs="楷体_GB2312"/>
          <w:b/>
          <w:bCs/>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月</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市人社局、市财政局、人民银行上饶市中心支行</w:t>
      </w:r>
      <w:r>
        <w:rPr>
          <w:rFonts w:hint="eastAsia" w:ascii="仿宋_GB2312" w:hAnsi="仿宋_GB2312" w:eastAsia="仿宋_GB2312" w:cs="仿宋_GB2312"/>
          <w:color w:val="000000" w:themeColor="text1"/>
          <w:spacing w:val="0"/>
          <w:sz w:val="32"/>
          <w:szCs w:val="32"/>
          <w14:textFill>
            <w14:solidFill>
              <w14:schemeClr w14:val="tx1"/>
            </w14:solidFill>
          </w14:textFill>
        </w:rPr>
        <w:t>负责将全年任务分解下达至各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14:textFill>
            <w14:solidFill>
              <w14:schemeClr w14:val="tx1"/>
            </w14:solidFill>
          </w14:textFill>
        </w:rPr>
        <w:t>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。人民银行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上饶市</w:t>
      </w:r>
      <w:r>
        <w:rPr>
          <w:rFonts w:hint="eastAsia" w:ascii="仿宋_GB2312" w:hAnsi="仿宋_GB2312" w:eastAsia="仿宋_GB2312" w:cs="仿宋_GB2312"/>
          <w:color w:val="000000" w:themeColor="text1"/>
          <w:spacing w:val="0"/>
          <w:sz w:val="32"/>
          <w:szCs w:val="32"/>
          <w14:textFill>
            <w14:solidFill>
              <w14:schemeClr w14:val="tx1"/>
            </w14:solidFill>
          </w14:textFill>
        </w:rPr>
        <w:t>中心支行依据全年任务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下达各金融机构年度工作目标。</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实施阶段</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14:textFill>
            <w14:solidFill>
              <w14:schemeClr w14:val="tx1"/>
            </w14:solidFill>
          </w14:textFill>
        </w:rPr>
        <w:t xml:space="preserve"> 年</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月</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各地按照财政事权和支出责任划分</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及时足额安排贴息资金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落实创业担保贷款政策。</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市人社局</w:t>
      </w:r>
      <w:r>
        <w:rPr>
          <w:rFonts w:hint="eastAsia" w:ascii="仿宋_GB2312" w:hAnsi="仿宋_GB2312" w:eastAsia="仿宋_GB2312" w:cs="仿宋_GB2312"/>
          <w:color w:val="000000" w:themeColor="text1"/>
          <w:spacing w:val="0"/>
          <w:sz w:val="32"/>
          <w:szCs w:val="32"/>
          <w14:textFill>
            <w14:solidFill>
              <w14:schemeClr w14:val="tx1"/>
            </w14:solidFill>
          </w14:textFill>
        </w:rPr>
        <w:t>负责对全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贷款发放进度、担保基金拨付进度及个人贷款占比等情况进行定期统计调度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对进度滞后的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14:textFill>
            <w14:solidFill>
              <w14:schemeClr w14:val="tx1"/>
            </w14:solidFill>
          </w14:textFill>
        </w:rPr>
        <w:t>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进行通报。</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验收阶段</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月</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通过全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创业担保贷款信息管理系统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核实并汇总各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14:textFill>
            <w14:solidFill>
              <w14:schemeClr w14:val="tx1"/>
            </w14:solidFill>
          </w14:textFill>
        </w:rPr>
        <w:t>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民生实事目标完成情况</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开展成果验收。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四、资金安排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按</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年新增发放贷款与</w:t>
      </w:r>
      <w:r>
        <w:rPr>
          <w:rFonts w:hint="default" w:ascii="Times New Roman" w:hAnsi="Times New Roman" w:eastAsia="仿宋_GB2312" w:cs="Times New Roman"/>
          <w:color w:val="000000" w:themeColor="text1"/>
          <w:spacing w:val="0"/>
          <w:sz w:val="32"/>
          <w:szCs w:val="32"/>
          <w14:textFill>
            <w14:solidFill>
              <w14:schemeClr w14:val="tx1"/>
            </w14:solidFill>
          </w14:textFill>
        </w:rPr>
        <w:t>2022</w:t>
      </w:r>
      <w:r>
        <w:rPr>
          <w:rFonts w:hint="eastAsia" w:ascii="仿宋_GB2312" w:hAnsi="仿宋_GB2312" w:eastAsia="仿宋_GB2312" w:cs="仿宋_GB2312"/>
          <w:color w:val="000000" w:themeColor="text1"/>
          <w:spacing w:val="0"/>
          <w:sz w:val="32"/>
          <w:szCs w:val="32"/>
          <w14:textFill>
            <w14:solidFill>
              <w14:schemeClr w14:val="tx1"/>
            </w14:solidFill>
          </w14:textFill>
        </w:rPr>
        <w:t>年大体一致测算</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pacing w:val="0"/>
          <w:sz w:val="32"/>
          <w:szCs w:val="32"/>
          <w14:textFill>
            <w14:solidFill>
              <w14:schemeClr w14:val="tx1"/>
            </w14:solidFill>
          </w14:textFill>
        </w:rPr>
        <w:t>按照国家现行贴息政策</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年需各级财政贴息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亿</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其中中央财政贴息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省财政贴息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2800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市县财政贴息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2200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继续加大个人创业担保贷款贴息力度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政策执行期延长至</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年底</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各级财政需贴息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其中省财政贴息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市县财政贴息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500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五、责任主体</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部门责任领导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市人力资源和社会保障局党组成员、副局长：王良福</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14:textFill>
            <w14:solidFill>
              <w14:schemeClr w14:val="tx1"/>
            </w14:solidFill>
          </w14:textFill>
        </w:rPr>
        <w:t>牵头单位责任</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科</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就业创业服务中心创业金融服务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科，负责人：徐世民，</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张萍，</w:t>
      </w:r>
      <w:r>
        <w:rPr>
          <w:rFonts w:hint="default" w:ascii="Times New Roman" w:hAnsi="Times New Roman" w:eastAsia="仿宋_GB2312" w:cs="Times New Roman"/>
          <w:color w:val="000000" w:themeColor="text1"/>
          <w:spacing w:val="0"/>
          <w:sz w:val="32"/>
          <w:szCs w:val="32"/>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8222245</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14:textFill>
            <w14:solidFill>
              <w14:schemeClr w14:val="tx1"/>
            </w14:solidFill>
          </w14:textFill>
        </w:rPr>
        <w:t>配合</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科</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室及责任人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财政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局债务金融科，负责人：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陈奕伊，</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缪淑华，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8683034</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人行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上饶市</w:t>
      </w:r>
      <w:r>
        <w:rPr>
          <w:rFonts w:hint="eastAsia" w:ascii="仿宋_GB2312" w:hAnsi="仿宋_GB2312" w:eastAsia="仿宋_GB2312" w:cs="仿宋_GB2312"/>
          <w:color w:val="000000" w:themeColor="text1"/>
          <w:spacing w:val="0"/>
          <w:sz w:val="32"/>
          <w:szCs w:val="32"/>
          <w14:textFill>
            <w14:solidFill>
              <w14:schemeClr w14:val="tx1"/>
            </w14:solidFill>
          </w14:textFill>
        </w:rPr>
        <w:t>中心支行货币信贷管理</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科，</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负责人：熊跃华，</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戴锐豪，</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8223729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四</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实施主体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各县（市、区）</w:t>
      </w:r>
      <w:r>
        <w:rPr>
          <w:rFonts w:hint="eastAsia" w:ascii="仿宋_GB2312" w:hAnsi="仿宋_GB2312" w:eastAsia="仿宋_GB2312" w:cs="仿宋_GB2312"/>
          <w:color w:val="000000" w:themeColor="text1"/>
          <w:spacing w:val="0"/>
          <w:sz w:val="32"/>
          <w:szCs w:val="32"/>
          <w14:textFill>
            <w14:solidFill>
              <w14:schemeClr w14:val="tx1"/>
            </w14:solidFill>
          </w14:textFill>
        </w:rPr>
        <w:t>人社局、财政局、人民银行分支机构。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六、完成时限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eastAsia" w:ascii="仿宋_GB2312" w:hAnsi="仿宋_GB2312" w:eastAsia="仿宋_GB2312" w:cs="仿宋_GB2312"/>
          <w:color w:val="000000" w:themeColor="text1"/>
          <w:spacing w:val="0"/>
          <w:sz w:val="32"/>
          <w:szCs w:val="32"/>
          <w14:textFill>
            <w14:solidFill>
              <w14:schemeClr w14:val="tx1"/>
            </w14:solidFill>
          </w14:textFill>
        </w:rPr>
        <w:t>日前。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七、有关要求</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高度重视,压实责任。</w:t>
      </w:r>
      <w:r>
        <w:rPr>
          <w:rFonts w:hint="eastAsia" w:ascii="仿宋_GB2312" w:hAnsi="仿宋_GB2312" w:eastAsia="仿宋_GB2312" w:cs="仿宋_GB2312"/>
          <w:color w:val="000000" w:themeColor="text1"/>
          <w:spacing w:val="0"/>
          <w:sz w:val="32"/>
          <w:szCs w:val="32"/>
          <w14:textFill>
            <w14:solidFill>
              <w14:schemeClr w14:val="tx1"/>
            </w14:solidFill>
          </w14:textFill>
        </w:rPr>
        <w:t>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14:textFill>
            <w14:solidFill>
              <w14:schemeClr w14:val="tx1"/>
            </w14:solidFill>
          </w14:textFill>
        </w:rPr>
        <w:t>人社、财政部门及人民银行分支机构要高度重视、精心组织,压实主体责任,共同推进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全市</w:t>
      </w:r>
      <w:r>
        <w:rPr>
          <w:rFonts w:hint="eastAsia" w:ascii="仿宋_GB2312" w:hAnsi="仿宋_GB2312" w:eastAsia="仿宋_GB2312" w:cs="仿宋_GB2312"/>
          <w:color w:val="000000" w:themeColor="text1"/>
          <w:spacing w:val="0"/>
          <w:sz w:val="32"/>
          <w:szCs w:val="32"/>
          <w14:textFill>
            <w14:solidFill>
              <w14:schemeClr w14:val="tx1"/>
            </w14:solidFill>
          </w14:textFill>
        </w:rPr>
        <w:t>创业担保贷款工作高质量、健康发展。</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14:textFill>
            <w14:solidFill>
              <w14:schemeClr w14:val="tx1"/>
            </w14:solidFill>
          </w14:textFill>
        </w:rPr>
        <w:t>密切配合,形成合力。</w:t>
      </w:r>
      <w:r>
        <w:rPr>
          <w:rFonts w:hint="eastAsia" w:ascii="仿宋_GB2312" w:hAnsi="仿宋_GB2312" w:eastAsia="仿宋_GB2312" w:cs="仿宋_GB2312"/>
          <w:color w:val="000000" w:themeColor="text1"/>
          <w:spacing w:val="0"/>
          <w:sz w:val="32"/>
          <w:szCs w:val="32"/>
          <w14:textFill>
            <w14:solidFill>
              <w14:schemeClr w14:val="tx1"/>
            </w14:solidFill>
          </w14:textFill>
        </w:rPr>
        <w:t>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14:textFill>
            <w14:solidFill>
              <w14:schemeClr w14:val="tx1"/>
            </w14:solidFill>
          </w14:textFill>
        </w:rPr>
        <w:t>各有关部门要发挥部门职能</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创新政策举措</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加强协同联动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形成工作合力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为创业担保贷款工作落实提供政策保障、人员保障和资金保障。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规范管理,优化服务。</w:t>
      </w:r>
      <w:r>
        <w:rPr>
          <w:rFonts w:hint="eastAsia" w:ascii="仿宋_GB2312" w:hAnsi="仿宋_GB2312" w:eastAsia="仿宋_GB2312" w:cs="仿宋_GB2312"/>
          <w:color w:val="000000" w:themeColor="text1"/>
          <w:spacing w:val="0"/>
          <w:sz w:val="32"/>
          <w:szCs w:val="32"/>
          <w14:textFill>
            <w14:solidFill>
              <w14:schemeClr w14:val="tx1"/>
            </w14:solidFill>
          </w14:textFill>
        </w:rPr>
        <w:t>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pacing w:val="0"/>
          <w:sz w:val="32"/>
          <w:szCs w:val="32"/>
          <w14:textFill>
            <w14:solidFill>
              <w14:schemeClr w14:val="tx1"/>
            </w14:solidFill>
          </w14:textFill>
        </w:rPr>
        <w:t>各有关部门要规范创业担保贷款管理工作</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确保贷款质量,提高资金使用效益。各级经办机构要优化服务流程</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创新服务方式</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为群众提供优质、满意的公共服务。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：各县（市、区）“</w:t>
      </w:r>
      <w:r>
        <w:rPr>
          <w:rFonts w:hint="eastAsia" w:ascii="仿宋_GB2312" w:hAnsi="仿宋_GB2312" w:eastAsia="仿宋_GB2312" w:cs="仿宋_GB2312"/>
          <w:color w:val="000000" w:themeColor="text1"/>
          <w:spacing w:val="0"/>
          <w:sz w:val="32"/>
          <w:szCs w:val="32"/>
          <w14:textFill>
            <w14:solidFill>
              <w14:schemeClr w14:val="tx1"/>
            </w14:solidFill>
          </w14:textFill>
        </w:rPr>
        <w:t>加大创业担保贷款扶持力度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”计划表</w:t>
      </w:r>
    </w:p>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w:t>
      </w:r>
    </w:p>
    <w:p>
      <w:pPr>
        <w:keepNext w:val="0"/>
        <w:keepLines w:val="0"/>
        <w:pageBreakBefore w:val="0"/>
        <w:widowControl w:val="0"/>
        <w:kinsoku/>
        <w:wordWrap/>
        <w:overflowPunct w:val="0"/>
        <w:topLinePunct w:val="0"/>
        <w:autoSpaceDE/>
        <w:autoSpaceDN/>
        <w:bidi w:val="0"/>
        <w:adjustRightInd/>
        <w:snapToGrid w:val="0"/>
        <w:spacing w:before="157" w:beforeLines="50" w:line="576" w:lineRule="exact"/>
        <w:jc w:val="center"/>
        <w:textAlignment w:val="auto"/>
        <w:outlineLvl w:val="9"/>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36"/>
          <w:szCs w:val="36"/>
          <w14:textFill>
            <w14:solidFill>
              <w14:schemeClr w14:val="tx1"/>
            </w14:solidFill>
          </w14:textFill>
        </w:rPr>
        <w:t>各县（市、区）“加大创业担保贷款扶持力度”计划表</w:t>
      </w:r>
    </w:p>
    <w:p>
      <w:pPr>
        <w:pStyle w:val="2"/>
        <w:keepNext w:val="0"/>
        <w:keepLines w:val="0"/>
        <w:pageBreakBefore w:val="0"/>
        <w:widowControl w:val="0"/>
        <w:kinsoku/>
        <w:wordWrap/>
        <w:overflowPunct w:val="0"/>
        <w:topLinePunct w:val="0"/>
        <w:autoSpaceDE/>
        <w:autoSpaceDN/>
        <w:bidi w:val="0"/>
        <w:ind w:left="0" w:leftChars="0" w:firstLine="0" w:firstLineChars="0"/>
        <w:rPr>
          <w:rFonts w:hint="eastAsia"/>
          <w:color w:val="000000" w:themeColor="text1"/>
          <w:spacing w:val="0"/>
          <w:lang w:eastAsia="zh-CN"/>
          <w14:textFill>
            <w14:solidFill>
              <w14:schemeClr w14:val="tx1"/>
            </w14:solidFill>
          </w14:textFill>
        </w:rPr>
      </w:pPr>
    </w:p>
    <w:tbl>
      <w:tblPr>
        <w:tblStyle w:val="9"/>
        <w:tblW w:w="8979" w:type="dxa"/>
        <w:tblInd w:w="0" w:type="dxa"/>
        <w:tblLayout w:type="fixed"/>
        <w:tblCellMar>
          <w:top w:w="0" w:type="dxa"/>
          <w:left w:w="0" w:type="dxa"/>
          <w:bottom w:w="0" w:type="dxa"/>
          <w:right w:w="0" w:type="dxa"/>
        </w:tblCellMar>
      </w:tblPr>
      <w:tblGrid>
        <w:gridCol w:w="1157"/>
        <w:gridCol w:w="1075"/>
        <w:gridCol w:w="1115"/>
        <w:gridCol w:w="1245"/>
        <w:gridCol w:w="1612"/>
        <w:gridCol w:w="1459"/>
        <w:gridCol w:w="1316"/>
      </w:tblGrid>
      <w:tr>
        <w:tblPrEx>
          <w:tblCellMar>
            <w:top w:w="0" w:type="dxa"/>
            <w:left w:w="0" w:type="dxa"/>
            <w:bottom w:w="0" w:type="dxa"/>
            <w:right w:w="0" w:type="dxa"/>
          </w:tblCellMar>
        </w:tblPrEx>
        <w:trPr>
          <w:trHeight w:val="734"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t>县（市、区）</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增加担保基金（万元）</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贷款发放（万元）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力争贷款发放（万元）</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贴息资金</w:t>
            </w:r>
          </w:p>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拨付</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扶持个人</w:t>
            </w:r>
          </w:p>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创业</w:t>
            </w:r>
          </w:p>
        </w:tc>
        <w:tc>
          <w:tcPr>
            <w:tcW w:w="13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到期贷款回收率</w:t>
            </w:r>
          </w:p>
        </w:tc>
      </w:tr>
      <w:tr>
        <w:tblPrEx>
          <w:tblCellMar>
            <w:top w:w="0" w:type="dxa"/>
            <w:left w:w="0" w:type="dxa"/>
            <w:bottom w:w="0" w:type="dxa"/>
            <w:right w:w="0" w:type="dxa"/>
          </w:tblCellMar>
        </w:tblPrEx>
        <w:trPr>
          <w:trHeight w:val="624"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市本级</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50</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11000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18000</w:t>
            </w:r>
          </w:p>
        </w:tc>
        <w:tc>
          <w:tcPr>
            <w:tcW w:w="16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及时足额拨付地方负担贴息资金</w:t>
            </w:r>
          </w:p>
        </w:tc>
        <w:tc>
          <w:tcPr>
            <w:tcW w:w="14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50</w:t>
            </w: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%以上</w:t>
            </w:r>
          </w:p>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（经开区除外）</w:t>
            </w:r>
          </w:p>
        </w:tc>
        <w:tc>
          <w:tcPr>
            <w:tcW w:w="131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95</w:t>
            </w: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%以上</w:t>
            </w: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信州区</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13000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20000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广信区</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17000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26000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广丰区</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18000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28000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玉山县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18000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34000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铅山县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14000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26000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横峰县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50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11000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22000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弋阳县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50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13000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26000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余干县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16000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26000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鄱阳县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65</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18000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31000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万年县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14000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kern w:val="2"/>
                <w:sz w:val="32"/>
                <w:szCs w:val="32"/>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31000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德兴市</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14000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26000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婺源县</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60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14000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29000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经开区</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4000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7000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r>
        <w:tblPrEx>
          <w:tblCellMar>
            <w:top w:w="0" w:type="dxa"/>
            <w:left w:w="0" w:type="dxa"/>
            <w:bottom w:w="0" w:type="dxa"/>
            <w:right w:w="0" w:type="dxa"/>
          </w:tblCellMar>
        </w:tblPrEx>
        <w:trPr>
          <w:trHeight w:val="624" w:hRule="atLeast"/>
        </w:trPr>
        <w:tc>
          <w:tcPr>
            <w:tcW w:w="11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合  计</w:t>
            </w:r>
          </w:p>
        </w:tc>
        <w:tc>
          <w:tcPr>
            <w:tcW w:w="107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b/>
                <w:bCs/>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b/>
                <w:bCs/>
                <w:i w:val="0"/>
                <w:color w:val="000000" w:themeColor="text1"/>
                <w:spacing w:val="0"/>
                <w:kern w:val="0"/>
                <w:sz w:val="32"/>
                <w:szCs w:val="32"/>
                <w:u w:val="none"/>
                <w:lang w:val="en-US" w:eastAsia="zh-CN" w:bidi="ar"/>
                <w14:textFill>
                  <w14:solidFill>
                    <w14:schemeClr w14:val="tx1"/>
                  </w14:solidFill>
                </w14:textFill>
              </w:rPr>
              <w:t>8</w:t>
            </w:r>
            <w:r>
              <w:rPr>
                <w:rFonts w:hint="default" w:ascii="Times New Roman" w:hAnsi="Times New Roman" w:eastAsia="仿宋_GB2312" w:cs="Times New Roman"/>
                <w:b/>
                <w:bCs/>
                <w:i w:val="0"/>
                <w:color w:val="000000" w:themeColor="text1"/>
                <w:spacing w:val="0"/>
                <w:kern w:val="0"/>
                <w:sz w:val="32"/>
                <w:szCs w:val="32"/>
                <w:u w:val="none"/>
                <w:lang w:val="en" w:eastAsia="zh-CN" w:bidi="ar"/>
                <w14:textFill>
                  <w14:solidFill>
                    <w14:schemeClr w14:val="tx1"/>
                  </w14:solidFill>
                </w14:textFill>
              </w:rPr>
              <w:t>0</w:t>
            </w:r>
            <w:r>
              <w:rPr>
                <w:rFonts w:hint="default" w:ascii="Times New Roman" w:hAnsi="Times New Roman" w:eastAsia="仿宋_GB2312" w:cs="Times New Roman"/>
                <w:b/>
                <w:bCs/>
                <w:i w:val="0"/>
                <w:color w:val="000000" w:themeColor="text1"/>
                <w:spacing w:val="0"/>
                <w:kern w:val="0"/>
                <w:sz w:val="32"/>
                <w:szCs w:val="32"/>
                <w:u w:val="none"/>
                <w:lang w:val="en-US" w:eastAsia="zh-CN" w:bidi="ar"/>
                <w14:textFill>
                  <w14:solidFill>
                    <w14:schemeClr w14:val="tx1"/>
                  </w14:solidFill>
                </w14:textFill>
              </w:rPr>
              <w:t>0</w:t>
            </w:r>
          </w:p>
        </w:tc>
        <w:tc>
          <w:tcPr>
            <w:tcW w:w="111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b/>
                <w:bCs/>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b/>
                <w:bCs/>
                <w:i w:val="0"/>
                <w:color w:val="000000" w:themeColor="text1"/>
                <w:spacing w:val="0"/>
                <w:kern w:val="0"/>
                <w:sz w:val="32"/>
                <w:szCs w:val="32"/>
                <w:u w:val="none"/>
                <w:lang w:val="en-US" w:eastAsia="zh-CN" w:bidi="ar"/>
                <w14:textFill>
                  <w14:solidFill>
                    <w14:schemeClr w14:val="tx1"/>
                  </w14:solidFill>
                </w14:textFill>
              </w:rPr>
              <w:t>195000</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6" w:lineRule="exact"/>
              <w:jc w:val="center"/>
              <w:textAlignment w:val="center"/>
              <w:rPr>
                <w:rFonts w:hint="eastAsia" w:ascii="仿宋_GB2312" w:hAnsi="仿宋_GB2312" w:eastAsia="仿宋_GB2312" w:cs="仿宋_GB2312"/>
                <w:b/>
                <w:bCs/>
                <w:i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b/>
                <w:bCs/>
                <w:i w:val="0"/>
                <w:color w:val="000000" w:themeColor="text1"/>
                <w:spacing w:val="0"/>
                <w:kern w:val="0"/>
                <w:sz w:val="32"/>
                <w:szCs w:val="32"/>
                <w:u w:val="none"/>
                <w:lang w:val="en-US" w:eastAsia="zh-CN" w:bidi="ar"/>
                <w14:textFill>
                  <w14:solidFill>
                    <w14:schemeClr w14:val="tx1"/>
                  </w14:solidFill>
                </w14:textFill>
              </w:rPr>
              <w:t>350000</w:t>
            </w:r>
          </w:p>
        </w:tc>
        <w:tc>
          <w:tcPr>
            <w:tcW w:w="161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45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c>
          <w:tcPr>
            <w:tcW w:w="13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pacing w:line="576" w:lineRule="exact"/>
              <w:jc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p>
        </w:tc>
      </w:tr>
    </w:tbl>
    <w:p>
      <w:pPr>
        <w:keepNext w:val="0"/>
        <w:keepLines w:val="0"/>
        <w:pageBreakBefore w:val="0"/>
        <w:widowControl w:val="0"/>
        <w:kinsoku/>
        <w:wordWrap/>
        <w:overflowPunct w:val="0"/>
        <w:topLinePunct w:val="0"/>
        <w:autoSpaceDE/>
        <w:autoSpaceDN/>
        <w:bidi w:val="0"/>
        <w:rPr>
          <w:rFonts w:hint="default" w:ascii="仿宋" w:hAnsi="仿宋" w:eastAsia="仿宋_GB2312"/>
          <w:color w:val="000000" w:themeColor="text1"/>
          <w:spacing w:val="0"/>
          <w:sz w:val="28"/>
          <w:szCs w:val="28"/>
          <w:lang w:val="en-US" w:eastAsia="zh-CN"/>
          <w14:textFill>
            <w14:solidFill>
              <w14:schemeClr w14:val="tx1"/>
            </w14:solidFill>
          </w14:textFill>
        </w:rPr>
      </w:pPr>
      <w:r>
        <w:rPr>
          <w:rFonts w:hint="default" w:ascii="仿宋" w:hAnsi="仿宋" w:eastAsia="仿宋_GB2312"/>
          <w:color w:val="000000" w:themeColor="text1"/>
          <w:spacing w:val="0"/>
          <w:sz w:val="28"/>
          <w:szCs w:val="28"/>
          <w:lang w:val="en-US" w:eastAsia="zh-CN"/>
          <w14:textFill>
            <w14:solidFill>
              <w14:schemeClr w14:val="tx1"/>
            </w14:solidFill>
          </w14:textFill>
        </w:rPr>
        <w:br w:type="page"/>
      </w: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t>附件</w:t>
      </w: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2</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4"/>
          <w:szCs w:val="44"/>
          <w:lang w:val="en-US" w:eastAsia="zh-CN" w:bidi="ar"/>
          <w14:textFill>
            <w14:solidFill>
              <w14:schemeClr w14:val="tx1"/>
            </w14:solidFill>
          </w14:textFill>
        </w:rPr>
        <w:t>关于“提高低保对象等困难群众基本生活</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4"/>
          <w:szCs w:val="44"/>
          <w:lang w:val="en-US" w:eastAsia="zh-CN" w:bidi="ar"/>
          <w14:textFill>
            <w14:solidFill>
              <w14:schemeClr w14:val="tx1"/>
            </w14:solidFill>
          </w14:textFill>
        </w:rPr>
        <w:t>保障标准”的实施方案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left"/>
        <w:textAlignment w:val="auto"/>
        <w:rPr>
          <w:rFonts w:ascii="仿宋_GB2312" w:hAnsi="宋体" w:eastAsia="仿宋_GB2312" w:cs="仿宋_GB2312"/>
          <w:color w:val="000000" w:themeColor="text1"/>
          <w:spacing w:val="0"/>
          <w:kern w:val="0"/>
          <w:sz w:val="31"/>
          <w:szCs w:val="31"/>
          <w:lang w:val="en-US" w:eastAsia="zh-CN" w:bidi="ar"/>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“提高低保对象等困难群众基本生活保障标准”民生实事，结合我市实际，制定本实施方案。</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 xml:space="preserve">一、任务目标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进一步提高全</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城乡低保对象保障标准和财政补差水平，同步提高城乡特困人员等各类困难群体财政补助标准。</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 xml:space="preserve">二、实施内容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（一）服务对象。</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全</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城乡最低生活保障对象、特困供养对象、上世纪60年代精简退职老弱残职工、城镇大集体困难企业未参保退休职工、手工联社大集体企业未参保退休职工、未参保返城未安置就业知青。</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（二）服务内容。</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1.为低保对象发放最低生活保障金。最低生活保障金通过银行等代理金融机构，直接发放至低保对象家庭账户。</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2.为特困人员发放特困供养金。特困供养金通过银行等代理金融机构，直接发放至分散供养特困人员个人账户或集中供养特困人员供养服务机构集体账户。</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3.为上世纪60年代精简退职老弱残职工发放救济补助，为城镇大集体困难企业未参保退休职工、手工联社大集体企业未参保退休职工、未参保返城未安置就业知青发放养老生活补助。</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（三）服务标准。</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1.城乡低保对象：将城市低保月人均保障标准提高60元，达到885元；财政月人均补差水平提高40元，达到570元。将农村低保月人均保障标准提高60元，达到660元；财政月人均补差水平提高40元，达到440元。坚持分类施保，对低保对象中的常补对象要按照低保标准给予全额补助，对低保对象中的非常补对象要给予差额救助，其中，城市低保对象每人每月补助金额不低于300元、农村低保对象每人每月补助金额不低于235元。</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 xml:space="preserve">2.城乡特困人员：将城镇特困人员和农村特困失能、半失能人员供养标准提高70元，达到每人每月1150元。将农村特困自理人员供养标准提高80元，达到每人每月860元。特困失能人员、半失能人员、自理人员照料护理补助标准分别按照每人每月1380元、350元、100元发放。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3.上世纪60年代精简退职老弱残职工：</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将</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上世纪60年代精简退职老弱残职工月人均救济补助标准</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提高</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125</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元，达到</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645</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元</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4.城镇大集体困难企业未参保退休职工、手工联社大集体企业未参保退休职工、未参保返城未安置就业知青：</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将城镇大集体困难企业未参保退休职工、手工联社大集体企业未参保退休职工、未参保返城未安置就业知青月人均养老生活补助标准提高</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60</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元，达到</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645</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元。</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 xml:space="preserve">三、实施步骤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（一）筹备阶段（2022年9—12月）。</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参考2022年上半年城乡人均消费支出增长幅度，拟定2023年全</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城乡低保对象等困难群众基本生活保障标准，测算全</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资金支出总额，编制</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级财政困难群众救助补助资金预算。</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（二）实施阶段（2023年1—11月）。</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根据</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《关于“</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提高低保对象等困难群众基本生活保障标准</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”的实施方案》，结合本市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实际情况出台提标提补配套文件，</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指导</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（市、区）</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做好提标提补工作落实。</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1.在6月底前完成提高城乡低保对象保障标准和财政补差水平、城乡特困人员救助供养标准、上世纪60年代精简退职老弱残职工月人均救济补助标准</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和提补资金补发工作</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2.在11月底前完成提高城镇大集体困难企业未参保退休职工、手工联社大集体企业未参保退休职工、未参保返城未安置就业知青月人均养老生活补助标准。</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（三）验收阶段（2023年7—12月）。</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 xml:space="preserve">通过日常调度、实地调研等方式，对各地提标提补工作落实情况进行验收。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四、资金安排</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县（市、区）财政统筹安排</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上级下达的补助</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资金</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和本级配套资金</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用于城乡低保、特困人员救助供养、上世纪60年代精简退职老弱残职工救济等支出。提高城镇大集体困难企业未参保退休职工、手工联社大集体企业未参保退休职工、未参保返城未安置就业知青养老生活补助标准的新增部分由当地财政负担。</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五、责任主体</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（一）部门责任领导。</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市民政局</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党组成员、副</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局长</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朱利华</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 xml:space="preserve">市社会保险管理中心主任  </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余良照</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（二）牵头单位责任处室。</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市民政局</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社会救助</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科</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，负责人：</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汪海锋</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，经办人及办公电话：</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詹潇</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，0793-8198730。</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人力资源</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和</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社会保障</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局</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养老保险</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科</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，负责人：</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张英</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，经办人及办公电话：</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王海宾</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，0793-8200702。</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（三）实施主体。</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（市、区）</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民政局、人力资源和社会保障局。</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六、完成时限</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2023年11月底前。</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u w:val="none"/>
          <w:lang w:val="en-US" w:eastAsia="zh-CN" w:bidi="ar"/>
          <w14:textFill>
            <w14:solidFill>
              <w14:schemeClr w14:val="tx1"/>
            </w14:solidFill>
          </w14:textFill>
        </w:rPr>
        <w:t>七、保障措施</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（一）加强组织领导。</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各地民政、人社、财政部门要高度重视，加强组织领导，周密安排部署，强化协调配合，形成工作合力，确保提标提补任务按时限完成。各</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地</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按照不低于</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级最低指导标准</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sz w:val="32"/>
          <w:szCs w:val="32"/>
          <w:u w:val="none"/>
          <w14:textFill>
            <w14:solidFill>
              <w14:schemeClr w14:val="tx1"/>
            </w14:solidFill>
          </w14:textFill>
        </w:rPr>
        <w:t>可根据当地经济社会发展水平和居民消费指数、物价水平，科学测算</w:t>
      </w:r>
      <w:r>
        <w:rPr>
          <w:rFonts w:hint="eastAsia" w:ascii="Times New Roman" w:hAnsi="Times New Roman" w:eastAsia="仿宋_GB2312" w:cs="Times New Roman"/>
          <w:color w:val="000000" w:themeColor="text1"/>
          <w:spacing w:val="0"/>
          <w:sz w:val="32"/>
          <w:szCs w:val="32"/>
          <w:u w:val="none"/>
          <w:lang w:val="en-US" w:eastAsia="zh-CN"/>
          <w14:textFill>
            <w14:solidFill>
              <w14:schemeClr w14:val="tx1"/>
            </w14:solidFill>
          </w14:textFill>
        </w:rPr>
        <w:t>并</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发布本行政区域内相对统一的区域救助标准。</w:t>
      </w:r>
      <w:r>
        <w:rPr>
          <w:rFonts w:hint="default" w:ascii="Times New Roman" w:hAnsi="Times New Roman" w:eastAsia="仿宋_GB2312" w:cs="Times New Roman"/>
          <w:color w:val="000000" w:themeColor="text1"/>
          <w:spacing w:val="0"/>
          <w:sz w:val="32"/>
          <w:szCs w:val="32"/>
          <w:u w:val="none"/>
          <w14:textFill>
            <w14:solidFill>
              <w14:schemeClr w14:val="tx1"/>
            </w14:solidFill>
          </w14:textFill>
        </w:rPr>
        <w:t>没有高于市定标准的参照市定标准实施，无需重新下文。</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（二）加强资金管理。</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各地要严格落实国家</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江西省</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和上饶市</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困难群众基本生活救助补助资金管理有关规定，规范资金使用范围，不得擅自扩大支出范围，不得以任何形式挤占、挪用、截留和滞留。</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cs="Times New Roman"/>
          <w:color w:val="000000" w:themeColor="text1"/>
          <w:spacing w:val="0"/>
          <w:sz w:val="32"/>
          <w:szCs w:val="32"/>
          <w:u w:val="none"/>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（三）加强监督检查。</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市民政、人社、财政部门要强化监督管理，健全工作机制，对提标提补工作推进不力的县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（市、区）</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，采取通报、督办、约谈、函询等方式督促限期整改。</w:t>
      </w:r>
    </w:p>
    <w:p>
      <w:pPr>
        <w:keepNext w:val="0"/>
        <w:keepLines w:val="0"/>
        <w:pageBreakBefore w:val="0"/>
        <w:widowControl w:val="0"/>
        <w:kinsoku/>
        <w:wordWrap/>
        <w:overflowPunct w:val="0"/>
        <w:topLinePunct w:val="0"/>
        <w:autoSpaceDE/>
        <w:autoSpaceDN/>
        <w:bidi w:val="0"/>
        <w:rPr>
          <w:rFonts w:hint="default" w:ascii="仿宋" w:hAnsi="仿宋" w:eastAsia="仿宋_GB2312"/>
          <w:color w:val="000000" w:themeColor="text1"/>
          <w:spacing w:val="0"/>
          <w:sz w:val="28"/>
          <w:szCs w:val="28"/>
          <w:lang w:val="en-US" w:eastAsia="zh-CN"/>
          <w14:textFill>
            <w14:solidFill>
              <w14:schemeClr w14:val="tx1"/>
            </w14:solidFill>
          </w14:textFill>
        </w:rPr>
      </w:pPr>
      <w:r>
        <w:rPr>
          <w:rFonts w:hint="default" w:ascii="仿宋" w:hAnsi="仿宋" w:eastAsia="仿宋_GB2312"/>
          <w:color w:val="000000" w:themeColor="text1"/>
          <w:spacing w:val="0"/>
          <w:sz w:val="28"/>
          <w:szCs w:val="28"/>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3</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关于“改善残疾人生活和照顾服务”</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的实施方案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改善残疾人生活和照顾服务</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一、任务目标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提高城乡困难残疾人生活补贴标准、城乡重度残疾人护理补贴标准。为</w:t>
      </w:r>
      <w:r>
        <w:rPr>
          <w:rFonts w:hint="default" w:ascii="Times New Roman" w:hAnsi="Times New Roman" w:eastAsia="仿宋_GB2312" w:cs="Times New Roman"/>
          <w:color w:val="000000" w:themeColor="text1"/>
          <w:spacing w:val="0"/>
          <w:sz w:val="32"/>
          <w:szCs w:val="32"/>
          <w14:textFill>
            <w14:solidFill>
              <w14:schemeClr w14:val="tx1"/>
            </w14:solidFill>
          </w14:textFill>
        </w:rPr>
        <w:t>16</w:t>
      </w:r>
      <w:r>
        <w:rPr>
          <w:rFonts w:hint="eastAsia" w:ascii="仿宋_GB2312" w:hAnsi="仿宋_GB2312" w:eastAsia="仿宋_GB2312" w:cs="仿宋_GB2312"/>
          <w:color w:val="000000" w:themeColor="text1"/>
          <w:spacing w:val="0"/>
          <w:sz w:val="32"/>
          <w:szCs w:val="32"/>
          <w14:textFill>
            <w14:solidFill>
              <w14:schemeClr w14:val="tx1"/>
            </w14:solidFill>
          </w14:textFill>
        </w:rPr>
        <w:t>周岁以上有长期照料护理需求的困难重度失能残疾人提供照护和托养服务。对</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2080</w:t>
      </w:r>
      <w:r>
        <w:rPr>
          <w:rFonts w:hint="eastAsia" w:ascii="仿宋_GB2312" w:hAnsi="仿宋_GB2312" w:eastAsia="仿宋_GB2312" w:cs="仿宋_GB2312"/>
          <w:color w:val="000000" w:themeColor="text1"/>
          <w:spacing w:val="0"/>
          <w:sz w:val="32"/>
          <w:szCs w:val="32"/>
          <w14:textFill>
            <w14:solidFill>
              <w14:schemeClr w14:val="tx1"/>
            </w14:solidFill>
          </w14:textFill>
        </w:rPr>
        <w:t>户以上困难重度残疾人家庭实施无障碍改造。</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二、实施内容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.困难残疾人生活补贴对象为具有江西户籍、持有第二代中华人民共和国残疾人证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以下简称“残疾人证”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、纳入城乡最低生活保障的残疾人。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.重度残疾人护理补贴对象为具有</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上饶</w:t>
      </w:r>
      <w:r>
        <w:rPr>
          <w:rFonts w:hint="eastAsia" w:ascii="仿宋_GB2312" w:hAnsi="仿宋_GB2312" w:eastAsia="仿宋_GB2312" w:cs="仿宋_GB2312"/>
          <w:color w:val="000000" w:themeColor="text1"/>
          <w:spacing w:val="0"/>
          <w:sz w:val="32"/>
          <w:szCs w:val="32"/>
          <w14:textFill>
            <w14:solidFill>
              <w14:schemeClr w14:val="tx1"/>
            </w14:solidFill>
          </w14:textFill>
        </w:rPr>
        <w:t>户籍、持有残疾人证、残疾等级被评定为一级、二级且需要长期照护的残疾人。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.困难重度失能残疾人照护和托养实施对象范围原则上为具有</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上饶</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户籍、年满 </w:t>
      </w:r>
      <w:r>
        <w:rPr>
          <w:rFonts w:hint="default" w:ascii="Times New Roman" w:hAnsi="Times New Roman" w:eastAsia="仿宋_GB2312" w:cs="Times New Roman"/>
          <w:color w:val="000000" w:themeColor="text1"/>
          <w:spacing w:val="0"/>
          <w:sz w:val="32"/>
          <w:szCs w:val="32"/>
          <w14:textFill>
            <w14:solidFill>
              <w14:schemeClr w14:val="tx1"/>
            </w14:solidFill>
          </w14:textFill>
        </w:rPr>
        <w:t>16</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周岁、低保户和易返贫致贫人口,持有残疾人证且残疾等级为一、二级的精神、智力和肢体残疾,未纳入特困人员救助供养范围,按照自主吃饭、穿衣、上下床、如厕、室内行走、洗澡等 </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项指标,有 </w:t>
      </w:r>
      <w:r>
        <w:rPr>
          <w:rFonts w:hint="default" w:ascii="Times New Roman" w:hAnsi="Times New Roman" w:eastAsia="仿宋_GB2312" w:cs="Times New Roman"/>
          <w:color w:val="000000" w:themeColor="text1"/>
          <w:spacing w:val="0"/>
          <w:sz w:val="32"/>
          <w:szCs w:val="32"/>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项不能达到的困难重度失能残疾人。有条件的地方可根据经济社会发展情况适当拓宽实施对象范围。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.对全</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有需求且符合条件的困难重度残疾人家庭实施无障碍改造进行补助,优先安排一户多残、老残一体等残疾人家庭,统筹兼顾各类别残疾人需求,各地可视情况提质扩面。</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服务内容。</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.为纳入城乡最低生活保障的残疾人发放生活补贴;为残疾等级被评定为一级、二级且需要长期照护的残疾人发放护理补贴。申请人携带居民户口簿、居民身份证、残疾人证、银行卡等证件复印件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如申请生活补贴还需提供最低生活保障证明复印件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到户籍所在地乡镇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申请,经乡镇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、县级残联和民政部门逐级审核后,由县级残联和民政部门报同级财政部门拨付补贴资金。</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.为</w:t>
      </w:r>
      <w:r>
        <w:rPr>
          <w:rFonts w:hint="default" w:ascii="Times New Roman" w:hAnsi="Times New Roman" w:eastAsia="仿宋_GB2312" w:cs="Times New Roman"/>
          <w:color w:val="000000" w:themeColor="text1"/>
          <w:spacing w:val="0"/>
          <w:sz w:val="32"/>
          <w:szCs w:val="32"/>
          <w14:textFill>
            <w14:solidFill>
              <w14:schemeClr w14:val="tx1"/>
            </w14:solidFill>
          </w14:textFill>
        </w:rPr>
        <w:t>16</w:t>
      </w:r>
      <w:r>
        <w:rPr>
          <w:rFonts w:hint="eastAsia" w:ascii="仿宋_GB2312" w:hAnsi="仿宋_GB2312" w:eastAsia="仿宋_GB2312" w:cs="仿宋_GB2312"/>
          <w:color w:val="000000" w:themeColor="text1"/>
          <w:spacing w:val="0"/>
          <w:sz w:val="32"/>
          <w:szCs w:val="32"/>
          <w14:textFill>
            <w14:solidFill>
              <w14:schemeClr w14:val="tx1"/>
            </w14:solidFill>
          </w14:textFill>
        </w:rPr>
        <w:t>周岁以上有长期照料护理需求的困难重度失能残疾人提供照护和托养服务。残疾人本人或监护人向户籍所在地乡镇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提出申请,按照残疾人申请类别,经乡镇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、县级民政部门和残联逐级分类审核审批,根据需要及当地服务模式委托个人或社会组织、服务机构为残疾人提供托养服务。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.对残疾人家庭需求和实际情况,一户一策、因人施策进行家庭无障碍改造,包括厨房改造、卫生间改造、配发家庭无障碍设施设备等。有改造意愿的残疾人或监护人持残疾人证向乡镇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提出改造申请,并填写个人基本信息和无障碍改造需求等资料;乡镇</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街道</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汇总并报县级残联,由县级残联对申请对象的资料进行初审和入户调查,确定改造对象并公示后,再进行入户施工并验收。</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服务标准。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.将城乡困难残疾人生活补贴标准、城乡重度残疾人护理补贴标准分别提高</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eastAsia" w:ascii="仿宋_GB2312" w:hAnsi="仿宋_GB2312" w:eastAsia="仿宋_GB2312" w:cs="仿宋_GB2312"/>
          <w:color w:val="000000" w:themeColor="text1"/>
          <w:spacing w:val="0"/>
          <w:sz w:val="32"/>
          <w:szCs w:val="32"/>
          <w14:textFill>
            <w14:solidFill>
              <w14:schemeClr w14:val="tx1"/>
            </w14:solidFill>
          </w14:textFill>
        </w:rPr>
        <w:t>元,均达到每人每月</w:t>
      </w:r>
      <w:r>
        <w:rPr>
          <w:rFonts w:hint="default" w:ascii="Times New Roman" w:hAnsi="Times New Roman" w:eastAsia="仿宋_GB2312" w:cs="Times New Roman"/>
          <w:color w:val="000000" w:themeColor="text1"/>
          <w:spacing w:val="0"/>
          <w:sz w:val="32"/>
          <w:szCs w:val="32"/>
          <w14:textFill>
            <w14:solidFill>
              <w14:schemeClr w14:val="tx1"/>
            </w14:solidFill>
          </w14:textFill>
        </w:rPr>
        <w:t>100</w:t>
      </w:r>
      <w:r>
        <w:rPr>
          <w:rFonts w:hint="eastAsia" w:ascii="仿宋_GB2312" w:hAnsi="仿宋_GB2312" w:eastAsia="仿宋_GB2312" w:cs="仿宋_GB2312"/>
          <w:color w:val="000000" w:themeColor="text1"/>
          <w:spacing w:val="0"/>
          <w:sz w:val="32"/>
          <w:szCs w:val="32"/>
          <w14:textFill>
            <w14:solidFill>
              <w14:schemeClr w14:val="tx1"/>
            </w14:solidFill>
          </w14:textFill>
        </w:rPr>
        <w:t>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.采取居家照护和日间照料的,对提供服务的个人、组织或机构按每人每月不低于</w:t>
      </w:r>
      <w:r>
        <w:rPr>
          <w:rFonts w:hint="default" w:ascii="Times New Roman" w:hAnsi="Times New Roman" w:eastAsia="仿宋_GB2312" w:cs="Times New Roman"/>
          <w:color w:val="000000" w:themeColor="text1"/>
          <w:spacing w:val="0"/>
          <w:sz w:val="32"/>
          <w:szCs w:val="32"/>
          <w14:textFill>
            <w14:solidFill>
              <w14:schemeClr w14:val="tx1"/>
            </w14:solidFill>
          </w14:textFill>
        </w:rPr>
        <w:t>600</w:t>
      </w:r>
      <w:r>
        <w:rPr>
          <w:rFonts w:hint="eastAsia" w:ascii="仿宋_GB2312" w:hAnsi="仿宋_GB2312" w:eastAsia="仿宋_GB2312" w:cs="仿宋_GB2312"/>
          <w:color w:val="000000" w:themeColor="text1"/>
          <w:spacing w:val="0"/>
          <w:sz w:val="32"/>
          <w:szCs w:val="32"/>
          <w14:textFill>
            <w14:solidFill>
              <w14:schemeClr w14:val="tx1"/>
            </w14:solidFill>
          </w14:textFill>
        </w:rPr>
        <w:t>元的标准给予补助;在残疾人综合托养服务机构托养的,按每人每月不低于</w:t>
      </w:r>
      <w:r>
        <w:rPr>
          <w:rFonts w:hint="default" w:ascii="Times New Roman" w:hAnsi="Times New Roman" w:eastAsia="仿宋_GB2312" w:cs="Times New Roman"/>
          <w:color w:val="000000" w:themeColor="text1"/>
          <w:spacing w:val="0"/>
          <w:sz w:val="32"/>
          <w:szCs w:val="32"/>
          <w14:textFill>
            <w14:solidFill>
              <w14:schemeClr w14:val="tx1"/>
            </w14:solidFill>
          </w14:textFill>
        </w:rPr>
        <w:t>1000</w:t>
      </w:r>
      <w:r>
        <w:rPr>
          <w:rFonts w:hint="eastAsia" w:ascii="仿宋_GB2312" w:hAnsi="仿宋_GB2312" w:eastAsia="仿宋_GB2312" w:cs="仿宋_GB2312"/>
          <w:color w:val="000000" w:themeColor="text1"/>
          <w:spacing w:val="0"/>
          <w:sz w:val="32"/>
          <w:szCs w:val="32"/>
          <w14:textFill>
            <w14:solidFill>
              <w14:schemeClr w14:val="tx1"/>
            </w14:solidFill>
          </w14:textFill>
        </w:rPr>
        <w:t>元标准给予补助;在农村公办养老院托养的,参照我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特困人员供养和护理费标准给予补助。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.逐步消除残疾人家庭生活障碍,提高残疾人居住环境和生活品质。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三、实施步骤</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筹备阶段。</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2022</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9</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月。开展事前绩效评估。对残疾人两项补贴人数进行统计汇总,按照补贴标准及各级应负担的比例,对残疾人两项补贴有关资金进行测算,编制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级财政困难群众救助补助资金预算;对照护和托养服务对象进行数据摸底和统计分析,掌握各地保障对象人数情况。</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月。下发困难重度残疾人家庭无障碍改造年度计划指导数,县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级</w:t>
      </w:r>
      <w:r>
        <w:rPr>
          <w:rFonts w:hint="eastAsia" w:ascii="仿宋_GB2312" w:hAnsi="仿宋_GB2312" w:eastAsia="仿宋_GB2312" w:cs="仿宋_GB2312"/>
          <w:color w:val="000000" w:themeColor="text1"/>
          <w:spacing w:val="0"/>
          <w:sz w:val="32"/>
          <w:szCs w:val="32"/>
          <w14:textFill>
            <w14:solidFill>
              <w14:schemeClr w14:val="tx1"/>
            </w14:solidFill>
          </w14:textFill>
        </w:rPr>
        <w:t>残联根据当地残疾人家庭无障碍需求数和摸底调查情况,在征求当地财政部门意见后,确定年度实施方案。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实施阶段。</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月。根据当地实际情况出台提标提补配套文件,各县</w:t>
      </w:r>
      <w:r>
        <w:rPr>
          <w:rFonts w:hint="eastAsia" w:ascii="仿宋_GB2312" w:hAnsi="仿宋_GB2312" w:cs="仿宋_GB2312"/>
          <w:color w:val="000000" w:themeColor="text1"/>
          <w:spacing w:val="0"/>
          <w:sz w:val="32"/>
          <w:szCs w:val="32"/>
          <w:lang w:eastAsia="zh-CN"/>
          <w14:textFill>
            <w14:solidFill>
              <w14:schemeClr w14:val="tx1"/>
            </w14:solidFill>
          </w14:textFill>
        </w:rPr>
        <w:t>（市、区）</w:t>
      </w:r>
      <w:r>
        <w:rPr>
          <w:rFonts w:hint="eastAsia" w:ascii="仿宋_GB2312" w:hAnsi="仿宋_GB2312" w:eastAsia="仿宋_GB2312" w:cs="仿宋_GB2312"/>
          <w:color w:val="000000" w:themeColor="text1"/>
          <w:spacing w:val="0"/>
          <w:sz w:val="32"/>
          <w:szCs w:val="32"/>
          <w14:textFill>
            <w14:solidFill>
              <w14:schemeClr w14:val="tx1"/>
            </w14:solidFill>
          </w14:textFill>
        </w:rPr>
        <w:t>抓好提标提补工作落实,</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月底前完成提标提补有关工作。加强对象动态管理、精准管理,及时将符合条件的纳入保障范围,将不符合条件的予以清退。</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10</w:t>
      </w:r>
      <w:r>
        <w:rPr>
          <w:rFonts w:hint="eastAsia" w:ascii="仿宋_GB2312" w:hAnsi="仿宋_GB2312" w:eastAsia="仿宋_GB2312" w:cs="仿宋_GB2312"/>
          <w:color w:val="000000" w:themeColor="text1"/>
          <w:spacing w:val="0"/>
          <w:sz w:val="32"/>
          <w:szCs w:val="32"/>
          <w14:textFill>
            <w14:solidFill>
              <w14:schemeClr w14:val="tx1"/>
            </w14:solidFill>
          </w14:textFill>
        </w:rPr>
        <w:t>月。确定困难重度残疾人家庭无障碍改造对象后,县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残联根据地域特点和改造规模,通过统一招投标、货币补贴等形式,采取集中改造、分片改造、个人分散自主改造等模式进行改造施工。</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验收阶段。</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7</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月。通过日常调度、实地调研等方式,对各地两项补贴提标提补工作、照护和托养工作落实情形进行验收,并开展绩效自评。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残联组织相关部门对困难重度残疾人家庭无障碍改造情况进行验收,改造对象确认签字后完成交付验收,并录入数据库。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四、资金安排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根据《江西省困难残疾人生活补贴和重度残疾人护理补贴制度实施办法》</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赣府发〔</w:t>
      </w:r>
      <w:r>
        <w:rPr>
          <w:rFonts w:hint="default" w:ascii="Times New Roman" w:hAnsi="Times New Roman" w:eastAsia="仿宋_GB2312" w:cs="Times New Roman"/>
          <w:color w:val="000000" w:themeColor="text1"/>
          <w:spacing w:val="0"/>
          <w:sz w:val="32"/>
          <w:szCs w:val="32"/>
          <w14:textFill>
            <w14:solidFill>
              <w14:schemeClr w14:val="tx1"/>
            </w14:solidFill>
          </w14:textFill>
        </w:rPr>
        <w:t>2015</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63</w:t>
      </w:r>
      <w:r>
        <w:rPr>
          <w:rFonts w:hint="eastAsia" w:ascii="仿宋_GB2312" w:hAnsi="仿宋_GB2312" w:eastAsia="仿宋_GB2312" w:cs="仿宋_GB2312"/>
          <w:color w:val="000000" w:themeColor="text1"/>
          <w:spacing w:val="0"/>
          <w:sz w:val="32"/>
          <w:szCs w:val="32"/>
          <w14:textFill>
            <w14:solidFill>
              <w14:schemeClr w14:val="tx1"/>
            </w14:solidFill>
          </w14:textFill>
        </w:rPr>
        <w:t>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《关于建立残疾人两项补贴标准动态调整机制的通知》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赣民字〔</w:t>
      </w:r>
      <w:r>
        <w:rPr>
          <w:rFonts w:hint="default" w:ascii="Times New Roman" w:hAnsi="Times New Roman" w:eastAsia="仿宋_GB2312" w:cs="Times New Roman"/>
          <w:color w:val="000000" w:themeColor="text1"/>
          <w:spacing w:val="0"/>
          <w:sz w:val="32"/>
          <w:szCs w:val="32"/>
          <w14:textFill>
            <w14:solidFill>
              <w14:schemeClr w14:val="tx1"/>
            </w14:solidFill>
          </w14:textFill>
        </w:rPr>
        <w:t>2021</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15</w:t>
      </w:r>
      <w:r>
        <w:rPr>
          <w:rFonts w:hint="eastAsia" w:ascii="仿宋_GB2312" w:hAnsi="仿宋_GB2312" w:eastAsia="仿宋_GB2312" w:cs="仿宋_GB2312"/>
          <w:color w:val="000000" w:themeColor="text1"/>
          <w:spacing w:val="0"/>
          <w:sz w:val="32"/>
          <w:szCs w:val="32"/>
          <w14:textFill>
            <w14:solidFill>
              <w14:schemeClr w14:val="tx1"/>
            </w14:solidFill>
          </w14:textFill>
        </w:rPr>
        <w:t>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,残疾人两项补贴提标所需资金西部政策延伸县由省、县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（市、区）</w:t>
      </w:r>
      <w:r>
        <w:rPr>
          <w:rFonts w:hint="eastAsia" w:ascii="仿宋_GB2312" w:hAnsi="仿宋_GB2312" w:eastAsia="仿宋_GB2312" w:cs="仿宋_GB2312"/>
          <w:color w:val="000000" w:themeColor="text1"/>
          <w:spacing w:val="0"/>
          <w:sz w:val="32"/>
          <w:szCs w:val="32"/>
          <w14:textFill>
            <w14:solidFill>
              <w14:schemeClr w14:val="tx1"/>
            </w14:solidFill>
          </w14:textFill>
        </w:rPr>
        <w:t>财政按</w:t>
      </w:r>
      <w:r>
        <w:rPr>
          <w:rFonts w:hint="default" w:ascii="Times New Roman" w:hAnsi="Times New Roman" w:eastAsia="仿宋_GB2312" w:cs="Times New Roman"/>
          <w:color w:val="000000" w:themeColor="text1"/>
          <w:spacing w:val="0"/>
          <w:sz w:val="32"/>
          <w:szCs w:val="32"/>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分担,其他县按</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7</w:t>
      </w:r>
      <w:r>
        <w:rPr>
          <w:rFonts w:hint="eastAsia" w:ascii="仿宋_GB2312" w:hAnsi="仿宋_GB2312" w:eastAsia="仿宋_GB2312" w:cs="仿宋_GB2312"/>
          <w:color w:val="000000" w:themeColor="text1"/>
          <w:spacing w:val="0"/>
          <w:sz w:val="32"/>
          <w:szCs w:val="32"/>
          <w14:textFill>
            <w14:solidFill>
              <w14:schemeClr w14:val="tx1"/>
            </w14:solidFill>
          </w14:textFill>
        </w:rPr>
        <w:t>分担。</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根据《关于加快推动贫困重度失能残疾人照护和托养工作的通知》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赣民字〔</w:t>
      </w:r>
      <w:r>
        <w:rPr>
          <w:rFonts w:hint="default" w:ascii="Times New Roman" w:hAnsi="Times New Roman" w:eastAsia="仿宋_GB2312" w:cs="Times New Roman"/>
          <w:color w:val="000000" w:themeColor="text1"/>
          <w:spacing w:val="0"/>
          <w:sz w:val="32"/>
          <w:szCs w:val="32"/>
          <w14:textFill>
            <w14:solidFill>
              <w14:schemeClr w14:val="tx1"/>
            </w14:solidFill>
          </w14:textFill>
        </w:rPr>
        <w:t>2020</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57</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各地统筹整合福彩公益金、政府性生活和护理类资金、“阳光家园计划”资金、残疾人事业发展省级补助资金和本级财力,更好发挥公益慈善组织作用,引导社会捐赠资金投入,保障残疾人照护和托养工作中设施建设和改造、设备更新、能力评估、照护托养、康复服务等经费。省财政统筹给予适当补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根据《关于做好“十四五”困难重度残疾人家庭无障碍改造工作的实施意见》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赣残联发〔</w:t>
      </w:r>
      <w:r>
        <w:rPr>
          <w:rFonts w:hint="default" w:ascii="Times New Roman" w:hAnsi="Times New Roman" w:eastAsia="仿宋_GB2312" w:cs="Times New Roman"/>
          <w:color w:val="000000" w:themeColor="text1"/>
          <w:spacing w:val="0"/>
          <w:sz w:val="32"/>
          <w:szCs w:val="32"/>
          <w14:textFill>
            <w14:solidFill>
              <w14:schemeClr w14:val="tx1"/>
            </w14:solidFill>
          </w14:textFill>
        </w:rPr>
        <w:t>2022</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,各地应统筹中央彩票公益金、省级补助资金和本级财力,落实保障责任。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五、责任主体</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部门责任领导。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民政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14:textFill>
            <w14:solidFill>
              <w14:schemeClr w14:val="tx1"/>
            </w14:solidFill>
          </w14:textFill>
        </w:rPr>
        <w:t>党组成员、副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长 </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朱利华</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残联</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四级调研员 杨大胜</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牵头单位责任</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科</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民政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14:textFill>
            <w14:solidFill>
              <w14:schemeClr w14:val="tx1"/>
            </w14:solidFill>
          </w14:textFill>
        </w:rPr>
        <w:t>社会事务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科</w:t>
      </w:r>
      <w:r>
        <w:rPr>
          <w:rFonts w:hint="eastAsia" w:ascii="仿宋_GB2312" w:hAnsi="仿宋_GB2312" w:eastAsia="仿宋_GB2312" w:cs="仿宋_GB2312"/>
          <w:color w:val="000000" w:themeColor="text1"/>
          <w:spacing w:val="0"/>
          <w:sz w:val="32"/>
          <w:szCs w:val="32"/>
          <w14:textFill>
            <w14:solidFill>
              <w14:schemeClr w14:val="tx1"/>
            </w14:solidFill>
          </w14:textFill>
        </w:rPr>
        <w:t>,负责人: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卢梦</w:t>
      </w:r>
      <w:r>
        <w:rPr>
          <w:rFonts w:hint="eastAsia" w:ascii="仿宋_GB2312" w:hAnsi="仿宋_GB2312" w:eastAsia="仿宋_GB2312" w:cs="仿宋_GB2312"/>
          <w:color w:val="000000" w:themeColor="text1"/>
          <w:spacing w:val="0"/>
          <w:sz w:val="32"/>
          <w:szCs w:val="32"/>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徐清瑶</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8198235</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残联教育就业</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科</w:t>
      </w:r>
      <w:r>
        <w:rPr>
          <w:rFonts w:hint="eastAsia" w:ascii="仿宋_GB2312" w:hAnsi="仿宋_GB2312" w:eastAsia="仿宋_GB2312" w:cs="仿宋_GB2312"/>
          <w:color w:val="000000" w:themeColor="text1"/>
          <w:spacing w:val="0"/>
          <w:sz w:val="32"/>
          <w:szCs w:val="32"/>
          <w14:textFill>
            <w14:solidFill>
              <w14:schemeClr w14:val="tx1"/>
            </w14:solidFill>
          </w14:textFill>
        </w:rPr>
        <w:t>,负责人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吴清华</w:t>
      </w:r>
      <w:r>
        <w:rPr>
          <w:rFonts w:hint="eastAsia" w:ascii="仿宋_GB2312" w:hAnsi="仿宋_GB2312" w:eastAsia="仿宋_GB2312" w:cs="仿宋_GB2312"/>
          <w:color w:val="000000" w:themeColor="text1"/>
          <w:spacing w:val="0"/>
          <w:sz w:val="32"/>
          <w:szCs w:val="32"/>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杨秀芬，</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7820596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市残联维权科</w:t>
      </w:r>
      <w:r>
        <w:rPr>
          <w:rFonts w:hint="eastAsia" w:ascii="仿宋_GB2312" w:hAnsi="仿宋_GB2312" w:eastAsia="仿宋_GB2312" w:cs="仿宋_GB2312"/>
          <w:color w:val="000000" w:themeColor="text1"/>
          <w:spacing w:val="0"/>
          <w:sz w:val="32"/>
          <w:szCs w:val="32"/>
          <w14:textFill>
            <w14:solidFill>
              <w14:schemeClr w14:val="tx1"/>
            </w14:solidFill>
          </w14:textFill>
        </w:rPr>
        <w:t>,负责人: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余正</w:t>
      </w:r>
      <w:r>
        <w:rPr>
          <w:rFonts w:hint="eastAsia" w:ascii="仿宋_GB2312" w:hAnsi="仿宋_GB2312" w:eastAsia="仿宋_GB2312" w:cs="仿宋_GB2312"/>
          <w:color w:val="000000" w:themeColor="text1"/>
          <w:spacing w:val="0"/>
          <w:sz w:val="32"/>
          <w:szCs w:val="32"/>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程欣，</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7920578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配合单位责任</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科</w:t>
      </w:r>
      <w:r>
        <w:rPr>
          <w:rFonts w:hint="eastAsia" w:ascii="楷体_GB2312" w:hAnsi="楷体_GB2312" w:eastAsia="楷体_GB2312" w:cs="楷体_GB2312"/>
          <w:b/>
          <w:bCs/>
          <w:color w:val="000000" w:themeColor="text1"/>
          <w:spacing w:val="0"/>
          <w:sz w:val="32"/>
          <w:szCs w:val="32"/>
          <w14:textFill>
            <w14:solidFill>
              <w14:schemeClr w14:val="tx1"/>
            </w14:solidFill>
          </w14:textFill>
        </w:rPr>
        <w:t>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val="e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住建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局勘察设计科</w:t>
      </w:r>
      <w:r>
        <w:rPr>
          <w:rFonts w:hint="eastAsia" w:ascii="仿宋_GB2312" w:hAnsi="仿宋_GB2312" w:eastAsia="仿宋_GB2312" w:cs="仿宋_GB2312"/>
          <w:color w:val="000000" w:themeColor="text1"/>
          <w:spacing w:val="0"/>
          <w:sz w:val="32"/>
          <w:szCs w:val="32"/>
          <w14:textFill>
            <w14:solidFill>
              <w14:schemeClr w14:val="tx1"/>
            </w14:solidFill>
          </w14:textFill>
        </w:rPr>
        <w:t>,负责人: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吕方舟</w:t>
      </w:r>
      <w:r>
        <w:rPr>
          <w:rFonts w:hint="eastAsia" w:ascii="仿宋_GB2312" w:hAnsi="仿宋_GB2312" w:eastAsia="仿宋_GB2312" w:cs="仿宋_GB2312"/>
          <w:color w:val="000000" w:themeColor="text1"/>
          <w:spacing w:val="0"/>
          <w:sz w:val="32"/>
          <w:szCs w:val="32"/>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吕方舟，</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8177313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市乡村振兴局社扶科,负责人:潘靓,经办人及办公电话:刘文庆,</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8231397</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32"/>
          <w:szCs w:val="32"/>
          <w14:textFill>
            <w14:solidFill>
              <w14:schemeClr w14:val="tx1"/>
            </w14:solidFill>
          </w14:textFill>
        </w:rPr>
        <w:t>四</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32"/>
          <w:szCs w:val="32"/>
          <w14:textFill>
            <w14:solidFill>
              <w14:schemeClr w14:val="tx1"/>
            </w14:solidFill>
          </w14:textFill>
        </w:rPr>
        <w:t>实施主体。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残疾人两项补贴工作,由各地民政部门牵头,残联配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合。</w:t>
      </w:r>
      <w:r>
        <w:rPr>
          <w:rFonts w:hint="eastAsia" w:ascii="仿宋_GB2312" w:hAnsi="仿宋_GB2312" w:eastAsia="仿宋_GB2312" w:cs="仿宋_GB2312"/>
          <w:color w:val="000000" w:themeColor="text1"/>
          <w:spacing w:val="0"/>
          <w:sz w:val="32"/>
          <w:szCs w:val="32"/>
          <w14:textFill>
            <w14:solidFill>
              <w14:schemeClr w14:val="tx1"/>
            </w14:solidFill>
          </w14:textFill>
        </w:rPr>
        <w:t>困难重度失能残疾人照护和托养工作,由民政部门和残联共同牵头实施。困难重度残疾人家庭无障碍改造工作,残联为实施主体,发改、民政、住建、乡村振兴等部门按职责分工做好相关工作。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六、完成时限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eastAsia" w:ascii="仿宋_GB2312" w:hAnsi="仿宋_GB2312" w:eastAsia="仿宋_GB2312" w:cs="仿宋_GB2312"/>
          <w:color w:val="000000" w:themeColor="text1"/>
          <w:spacing w:val="0"/>
          <w:sz w:val="32"/>
          <w:szCs w:val="32"/>
          <w14:textFill>
            <w14:solidFill>
              <w14:schemeClr w14:val="tx1"/>
            </w14:solidFill>
          </w14:textFill>
        </w:rPr>
        <w:t>日前。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七、保障措施</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压实工作责任。</w:t>
      </w:r>
      <w:r>
        <w:rPr>
          <w:rFonts w:hint="eastAsia" w:ascii="仿宋_GB2312" w:hAnsi="仿宋_GB2312" w:eastAsia="仿宋_GB2312" w:cs="仿宋_GB2312"/>
          <w:color w:val="000000" w:themeColor="text1"/>
          <w:spacing w:val="0"/>
          <w:sz w:val="32"/>
          <w:szCs w:val="32"/>
          <w14:textFill>
            <w14:solidFill>
              <w14:schemeClr w14:val="tx1"/>
            </w14:solidFill>
          </w14:textFill>
        </w:rPr>
        <w:t>各地民政、残联等部门要高度重视,加强沟通,密切配合,协同推进改善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残疾人生活和照顾服务</w:t>
      </w:r>
      <w:r>
        <w:rPr>
          <w:rFonts w:hint="eastAsia" w:ascii="仿宋_GB2312" w:hAnsi="仿宋_GB2312" w:eastAsia="仿宋_GB2312" w:cs="仿宋_GB2312"/>
          <w:color w:val="000000" w:themeColor="text1"/>
          <w:spacing w:val="0"/>
          <w:sz w:val="32"/>
          <w:szCs w:val="32"/>
          <w14:textFill>
            <w14:solidFill>
              <w14:schemeClr w14:val="tx1"/>
            </w14:solidFill>
          </w14:textFill>
        </w:rPr>
        <w:t>民生实事,确保工作任务按时完成。</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加强日常管理。</w:t>
      </w:r>
      <w:r>
        <w:rPr>
          <w:rFonts w:hint="eastAsia" w:ascii="仿宋_GB2312" w:hAnsi="仿宋_GB2312" w:eastAsia="仿宋_GB2312" w:cs="仿宋_GB2312"/>
          <w:color w:val="000000" w:themeColor="text1"/>
          <w:spacing w:val="0"/>
          <w:sz w:val="32"/>
          <w:szCs w:val="32"/>
          <w14:textFill>
            <w14:solidFill>
              <w14:schemeClr w14:val="tx1"/>
            </w14:solidFill>
          </w14:textFill>
        </w:rPr>
        <w:t>各地各有关</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部门按照工作职责</w:t>
      </w:r>
      <w:r>
        <w:rPr>
          <w:rFonts w:hint="eastAsia" w:ascii="仿宋_GB2312" w:hAnsi="仿宋_GB2312" w:eastAsia="仿宋_GB2312" w:cs="仿宋_GB2312"/>
          <w:color w:val="000000" w:themeColor="text1"/>
          <w:spacing w:val="0"/>
          <w:sz w:val="32"/>
          <w:szCs w:val="32"/>
          <w14:textFill>
            <w14:solidFill>
              <w14:schemeClr w14:val="tx1"/>
            </w14:solidFill>
          </w14:textFill>
        </w:rPr>
        <w:t>,做好对象审核把关、资金发放、档案管理等基础工作。要定期开展复核,及时将符合条件的对象纳入保障范</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围，</w:t>
      </w:r>
      <w:r>
        <w:rPr>
          <w:rFonts w:hint="eastAsia" w:ascii="仿宋_GB2312" w:hAnsi="仿宋_GB2312" w:eastAsia="仿宋_GB2312" w:cs="仿宋_GB2312"/>
          <w:color w:val="000000" w:themeColor="text1"/>
          <w:spacing w:val="0"/>
          <w:sz w:val="32"/>
          <w:szCs w:val="32"/>
          <w14:textFill>
            <w14:solidFill>
              <w14:schemeClr w14:val="tx1"/>
            </w14:solidFill>
          </w14:textFill>
        </w:rPr>
        <w:t>确保应补尽补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14:textFill>
            <w14:solidFill>
              <w14:schemeClr w14:val="tx1"/>
            </w14:solidFill>
          </w14:textFill>
        </w:rPr>
        <w:t>强化监督管理。</w:t>
      </w:r>
      <w:r>
        <w:rPr>
          <w:rFonts w:hint="eastAsia" w:ascii="仿宋_GB2312" w:hAnsi="仿宋_GB2312" w:eastAsia="仿宋_GB2312" w:cs="仿宋_GB2312"/>
          <w:color w:val="000000" w:themeColor="text1"/>
          <w:spacing w:val="0"/>
          <w:sz w:val="32"/>
          <w:szCs w:val="32"/>
          <w14:textFill>
            <w14:solidFill>
              <w14:schemeClr w14:val="tx1"/>
            </w14:solidFill>
          </w14:textFill>
        </w:rPr>
        <w:t>健全管理机制,确保残疾人两项补贴提标提补工作、困难重度失能残疾人照护和托养工作、困难重度残疾人家庭无障碍改造顺利实施。要采取适当形式做好补贴对象、资金等公示工作,广泛接受社会监督。</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附:各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县（市、区）</w:t>
      </w:r>
      <w:r>
        <w:rPr>
          <w:rFonts w:hint="eastAsia" w:ascii="仿宋_GB2312" w:hAnsi="仿宋_GB2312" w:eastAsia="仿宋_GB2312" w:cs="仿宋_GB2312"/>
          <w:color w:val="000000" w:themeColor="text1"/>
          <w:spacing w:val="0"/>
          <w:sz w:val="32"/>
          <w:szCs w:val="32"/>
          <w14:textFill>
            <w14:solidFill>
              <w14:schemeClr w14:val="tx1"/>
            </w14:solidFill>
          </w14:textFill>
        </w:rPr>
        <w:t>“改善残疾人生活和照顾服务”计划表</w:t>
      </w: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br w:type="page"/>
      </w:r>
      <w:r>
        <w:rPr>
          <w:rFonts w:hint="eastAsia" w:ascii="黑体" w:hAnsi="黑体" w:eastAsia="黑体" w:cs="黑体"/>
          <w:color w:val="000000" w:themeColor="text1"/>
          <w:spacing w:val="0"/>
          <w:sz w:val="32"/>
          <w:szCs w:val="32"/>
          <w:lang w:eastAsia="zh-CN"/>
          <w14:textFill>
            <w14:solidFill>
              <w14:schemeClr w14:val="tx1"/>
            </w14:solidFill>
          </w14:textFill>
        </w:rPr>
        <w:t>附</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240" w:lineRule="auto"/>
        <w:jc w:val="center"/>
        <w:textAlignment w:val="auto"/>
        <w:rPr>
          <w:rFonts w:hint="eastAsia" w:ascii="方正小标宋简体" w:hAnsi="方正小标宋简体" w:eastAsia="方正小标宋简体" w:cs="方正小标宋简体"/>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6"/>
          <w:szCs w:val="36"/>
          <w14:textFill>
            <w14:solidFill>
              <w14:schemeClr w14:val="tx1"/>
            </w14:solidFill>
          </w14:textFill>
        </w:rPr>
        <w:t>各县（市、区）“改善残疾人生活和照顾服务”计划表</w:t>
      </w:r>
    </w:p>
    <w:tbl>
      <w:tblPr>
        <w:tblStyle w:val="9"/>
        <w:tblW w:w="8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5"/>
        <w:gridCol w:w="5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b/>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olor w:val="000000" w:themeColor="text1"/>
                <w:spacing w:val="0"/>
                <w:kern w:val="0"/>
                <w:sz w:val="32"/>
                <w:szCs w:val="32"/>
                <w:u w:val="none"/>
                <w:lang w:val="en-US" w:eastAsia="zh-CN" w:bidi="ar"/>
                <w14:textFill>
                  <w14:solidFill>
                    <w14:schemeClr w14:val="tx1"/>
                  </w14:solidFill>
                </w14:textFill>
              </w:rPr>
              <w:t>县（市、区）</w:t>
            </w:r>
          </w:p>
        </w:tc>
        <w:tc>
          <w:tcPr>
            <w:tcW w:w="5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困难重度残疾人家庭无障碍改造 计划数（户）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信州区</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广信区</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广丰区</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玉山县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铅山县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横峰县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弋阳县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余干县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鄱阳县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万年县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德兴市</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olor w:val="000000" w:themeColor="text1"/>
                <w:spacing w:val="0"/>
                <w:kern w:val="0"/>
                <w:sz w:val="32"/>
                <w:szCs w:val="32"/>
                <w:u w:val="none"/>
                <w:lang w:val="en-US" w:eastAsia="zh-CN" w:bidi="ar"/>
                <w14:textFill>
                  <w14:solidFill>
                    <w14:schemeClr w14:val="tx1"/>
                  </w14:solidFill>
                </w14:textFill>
              </w:rPr>
              <w:t>婺源县</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rPr>
                <w:rFonts w:hint="eastAsia" w:ascii="仿宋_GB2312" w:hAnsi="仿宋_GB2312" w:eastAsia="仿宋_GB2312" w:cs="仿宋_GB2312"/>
                <w:i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32"/>
                <w:szCs w:val="32"/>
                <w:u w:val="none"/>
                <w:lang w:val="en-US" w:eastAsia="zh-CN"/>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31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b/>
                <w:i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olor w:val="000000" w:themeColor="text1"/>
                <w:spacing w:val="0"/>
                <w:kern w:val="0"/>
                <w:sz w:val="32"/>
                <w:szCs w:val="32"/>
                <w:u w:val="none"/>
                <w:lang w:val="en-US" w:eastAsia="zh-CN" w:bidi="ar"/>
                <w14:textFill>
                  <w14:solidFill>
                    <w14:schemeClr w14:val="tx1"/>
                  </w14:solidFill>
                </w14:textFill>
              </w:rPr>
              <w:t>合</w:t>
            </w:r>
            <w:r>
              <w:rPr>
                <w:rFonts w:hint="eastAsia" w:ascii="仿宋_GB2312" w:hAnsi="仿宋_GB2312" w:cs="仿宋_GB2312"/>
                <w:b/>
                <w:i w:val="0"/>
                <w:color w:val="000000" w:themeColor="text1"/>
                <w:spacing w:val="0"/>
                <w:kern w:val="0"/>
                <w:sz w:val="32"/>
                <w:szCs w:val="32"/>
                <w:u w:val="none"/>
                <w:lang w:val="en-US" w:eastAsia="zh-CN" w:bidi="ar"/>
                <w14:textFill>
                  <w14:solidFill>
                    <w14:schemeClr w14:val="tx1"/>
                  </w14:solidFill>
                </w14:textFill>
              </w:rPr>
              <w:t xml:space="preserve">  </w:t>
            </w:r>
            <w:r>
              <w:rPr>
                <w:rFonts w:hint="eastAsia" w:ascii="仿宋_GB2312" w:hAnsi="仿宋_GB2312" w:eastAsia="仿宋_GB2312" w:cs="仿宋_GB2312"/>
                <w:b/>
                <w:i w:val="0"/>
                <w:color w:val="000000" w:themeColor="text1"/>
                <w:spacing w:val="0"/>
                <w:kern w:val="0"/>
                <w:sz w:val="32"/>
                <w:szCs w:val="32"/>
                <w:u w:val="none"/>
                <w:lang w:val="en-US" w:eastAsia="zh-CN" w:bidi="ar"/>
                <w14:textFill>
                  <w14:solidFill>
                    <w14:schemeClr w14:val="tx1"/>
                  </w14:solidFill>
                </w14:textFill>
              </w:rPr>
              <w:t>计</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color w:val="000000" w:themeColor="text1"/>
                <w:spacing w:val="0"/>
                <w:kern w:val="0"/>
                <w:sz w:val="32"/>
                <w:szCs w:val="32"/>
                <w:u w:val="none"/>
                <w:lang w:val="en-US" w:eastAsia="zh-CN" w:bidi="ar"/>
                <w14:textFill>
                  <w14:solidFill>
                    <w14:schemeClr w14:val="tx1"/>
                  </w14:solidFill>
                </w14:textFill>
              </w:rPr>
              <w:t>2080</w:t>
            </w:r>
          </w:p>
        </w:tc>
      </w:tr>
    </w:tbl>
    <w:p>
      <w:pPr>
        <w:keepNext w:val="0"/>
        <w:keepLines w:val="0"/>
        <w:pageBreakBefore w:val="0"/>
        <w:widowControl w:val="0"/>
        <w:kinsoku/>
        <w:wordWrap/>
        <w:overflowPunct w:val="0"/>
        <w:topLinePunct w:val="0"/>
        <w:autoSpaceDE/>
        <w:autoSpaceDN/>
        <w:bidi w:val="0"/>
        <w:rPr>
          <w:color w:val="000000" w:themeColor="text1"/>
          <w:spacing w:val="0"/>
          <w14:textFill>
            <w14:solidFill>
              <w14:schemeClr w14:val="tx1"/>
            </w14:solidFill>
          </w14:textFill>
        </w:rPr>
      </w:pPr>
    </w:p>
    <w:p>
      <w:pPr>
        <w:keepNext w:val="0"/>
        <w:keepLines w:val="0"/>
        <w:pageBreakBefore w:val="0"/>
        <w:widowControl w:val="0"/>
        <w:kinsoku/>
        <w:wordWrap/>
        <w:overflowPunct w:val="0"/>
        <w:topLinePunct w:val="0"/>
        <w:autoSpaceDE/>
        <w:autoSpaceDN/>
        <w:bidi w:val="0"/>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br w:type="page"/>
      </w:r>
    </w:p>
    <w:p>
      <w:pPr>
        <w:keepNext w:val="0"/>
        <w:keepLines w:val="0"/>
        <w:pageBreakBefore w:val="0"/>
        <w:widowControl w:val="0"/>
        <w:suppressLineNumbers w:val="0"/>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t>附件</w:t>
      </w: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4</w:t>
      </w:r>
    </w:p>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关于“关心关爱城乡孤儿、事实无人抚养</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儿童和留守儿童”的实施方案</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color w:val="000000" w:themeColor="text1"/>
          <w:spacing w:val="0"/>
          <w:sz w:val="24"/>
          <w:szCs w:val="24"/>
          <w:lang w:val="en-US"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u w:val="none"/>
          <w:lang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“关心关爱城乡孤儿、事实无人抚养儿童和留守儿童”民生实事，结合我市实际，制定本实施方案。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u w:val="none"/>
          <w:lang w:eastAsia="zh-CN"/>
          <w14:textFill>
            <w14:solidFill>
              <w14:schemeClr w14:val="tx1"/>
            </w14:solidFill>
          </w14:textFill>
        </w:rPr>
      </w:pPr>
      <w:r>
        <w:rPr>
          <w:rFonts w:hint="eastAsia" w:ascii="黑体" w:hAnsi="黑体" w:eastAsia="黑体" w:cs="黑体"/>
          <w:color w:val="000000" w:themeColor="text1"/>
          <w:spacing w:val="0"/>
          <w:sz w:val="32"/>
          <w:szCs w:val="32"/>
          <w:u w:val="none"/>
          <w:lang w:val="en-US" w:eastAsia="zh-CN"/>
          <w14:textFill>
            <w14:solidFill>
              <w14:schemeClr w14:val="tx1"/>
            </w14:solidFill>
          </w14:textFill>
        </w:rPr>
        <w:t xml:space="preserve">    一、</w:t>
      </w:r>
      <w:r>
        <w:rPr>
          <w:rFonts w:hint="eastAsia" w:ascii="黑体" w:hAnsi="黑体" w:eastAsia="黑体" w:cs="黑体"/>
          <w:color w:val="000000" w:themeColor="text1"/>
          <w:spacing w:val="0"/>
          <w:sz w:val="32"/>
          <w:szCs w:val="32"/>
          <w:u w:val="none"/>
          <w:lang w:eastAsia="zh-CN"/>
          <w14:textFill>
            <w14:solidFill>
              <w14:schemeClr w14:val="tx1"/>
            </w14:solidFill>
          </w14:textFill>
        </w:rPr>
        <w:t>任务目标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pacing w:val="0"/>
          <w:sz w:val="32"/>
          <w:szCs w:val="32"/>
          <w:highlight w:val="none"/>
          <w:u w:val="none"/>
          <w:lang w:val="en-US" w:eastAsia="zh-CN"/>
          <w14:textFill>
            <w14:solidFill>
              <w14:schemeClr w14:val="tx1"/>
            </w14:solidFill>
          </w14:textFill>
        </w:rPr>
        <w:t xml:space="preserve">    </w:t>
      </w: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（一）基本生活保障。</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市县民政部门联合财政部门于</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 xml:space="preserve">月印发文件，全市各地按照机构养育孤儿、城乡散居孤儿、事实无人抚养儿童基本生活保障标准分别不低于每人每月 </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1820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1360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1360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 xml:space="preserve">元，残疾孤儿（残疾事实无人抚养儿童）照料护理补贴标准不低于每人每月 </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1380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 xml:space="preserve"> 元发放生活保障金，做到按月规范发放、“应保尽保”。并按此标准补发 </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 xml:space="preserve"> 月份以来生活费。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（二）心理健康服务。</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对已纳入保障的孤儿、事实无人抚养儿童和“关爱工程”摸排出来的重点留守儿童，开展监护状况和心理健康专业评估；对经评估存在问题的儿童，落实兜底监护、关爱服务、心理干预等帮扶措施。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640" w:leftChars="0"/>
        <w:jc w:val="both"/>
        <w:textAlignment w:val="auto"/>
        <w:rPr>
          <w:rFonts w:hint="eastAsia" w:ascii="黑体" w:hAnsi="黑体" w:eastAsia="黑体" w:cs="黑体"/>
          <w:color w:val="000000" w:themeColor="text1"/>
          <w:spacing w:val="0"/>
          <w:sz w:val="32"/>
          <w:szCs w:val="32"/>
          <w:highlight w:val="none"/>
          <w:u w:val="none"/>
          <w:lang w:val="en-US"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val="en-US" w:eastAsia="zh-CN"/>
          <w14:textFill>
            <w14:solidFill>
              <w14:schemeClr w14:val="tx1"/>
            </w14:solidFill>
          </w14:textFill>
        </w:rPr>
        <w:t>二、实施内容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640" w:leftChars="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孤儿、事实无人抚养儿童和留守儿童。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（二）服务内容。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按时发放孤儿、事实无人抚养儿童基本生活费。孤儿监护人（抚养人）、事实无人抚养儿童监护人或受监护人委托的近亲属或所在村（居）民委员会向户籍所在地乡镇（街道）提出申请，填写《江西省孤儿基本生活费申报审批表》或《事实无人抚养儿童基本生活补贴申请表》，乡镇（街道）核实后报县级民政部门审核；儿童福利机构集中养育的孤儿，由福利机构负责提供办理批准孤儿、弃婴入院手续的相关材料，报县级民政部门审批，县级民政部门审核后报同级财政部门拨付基本生活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按时发放残疾孤儿和残疾事实无人抚养儿童照料护理补贴。监护人或受监护人委托的近亲属或所在村（居）委会向社会散居残疾孤儿（残疾事实无人抚养儿童）户籍所在地乡镇（街道）提出申请，乡镇（街道）核实后上报县级民政部门审核；儿童福利机构抚养的残疾孤儿（残疾事实无人抚养儿童），由儿童福利机构向户籍所在地县级民政部门提出申请，县级民政部门审核后报同级财政部门拨付照料护理补贴。</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.对已纳入保障的孤儿、事实无人抚养儿童和重点留守儿童，开展监护状况和心理健康专业评估，建立心理健康档案，对评估存在问题儿童进行帮扶。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default"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.统筹推进童心港湾、青少年服务台等关爱服务留守儿童阵地建设，常态化开展亲情陪伴、情感关怀、自护教育、励志教育、红色教育、心理健康、法治宣传等服务。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（三）服务标准。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.机构养育孤儿、城乡散居孤儿、事实无人抚养儿童基本生活保障标准分别不低于每人每月</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1820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1360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1360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元。残疾孤儿（残疾事实无人抚养儿童）照料护理补贴标准不低于每人每月</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1380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元。</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采取购买服务、项目合作等方式，对已纳入保障的孤儿、事实无人抚养儿童和“关爱工程”摸排出来的重点留守儿童，开展不少于一次监护状况和心理健康专业评估，“一人一档”建立心理健康档案。对经评估存在问题的儿童，每月开展不少于二次探视巡访、心理疏导等服务，落实兜底监护、关爱服务、心理干预等帮扶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.每个童心港湾阵地每周开放不少于</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10</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个小时，每个阵地聘请一名童伴妈妈常态化为留守儿童提供关爱服务。童伴妈妈每月开展不少于一次家访，每学期开展不少于一次校访，深入了解留守儿童家庭生活、学习情况，持续关注留守儿童心理健康。</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val="en-US" w:eastAsia="zh-CN"/>
          <w14:textFill>
            <w14:solidFill>
              <w14:schemeClr w14:val="tx1"/>
            </w14:solidFill>
          </w14:textFill>
        </w:rPr>
        <w:t>三、</w:t>
      </w:r>
      <w:r>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t>实施步骤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（一）前期准备（</w:t>
      </w:r>
      <w:r>
        <w:rPr>
          <w:rFonts w:hint="default" w:ascii="Times New Roman" w:hAnsi="Times New Roman" w:eastAsia="楷体_GB2312" w:cs="Times New Roman"/>
          <w:b/>
          <w:bCs/>
          <w:color w:val="000000" w:themeColor="text1"/>
          <w:spacing w:val="0"/>
          <w:sz w:val="32"/>
          <w:szCs w:val="32"/>
          <w:highlight w:val="none"/>
          <w:u w:val="none"/>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月中下旬）</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与财政部门沟通，市县下发提标提补通知，各地严格按新标准发放当月生活补助，并做好</w:t>
      </w:r>
      <w:r>
        <w:rPr>
          <w:rFonts w:hint="default" w:ascii="Times New Roman" w:hAnsi="Times New Roman" w:eastAsia="仿宋_GB2312" w:cs="Times New Roman"/>
          <w:b w:val="0"/>
          <w:bCs w:val="0"/>
          <w:color w:val="000000" w:themeColor="text1"/>
          <w:spacing w:val="0"/>
          <w:sz w:val="32"/>
          <w:szCs w:val="32"/>
          <w:highlight w:val="none"/>
          <w:u w:val="none"/>
          <w:lang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 xml:space="preserve"> 月份以来补助补发工作。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有条件的地方制定购买未成人保护公益服务项目实施方案，确定项目开始时间、实施范围、购买内容、项目资金、预计完成时间、验收效果等。</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（二）具体执行（</w:t>
      </w:r>
      <w:r>
        <w:rPr>
          <w:rFonts w:hint="default" w:ascii="Times New Roman" w:hAnsi="Times New Roman" w:eastAsia="楷体_GB2312" w:cs="Times New Roman"/>
          <w:b/>
          <w:bCs/>
          <w:color w:val="000000" w:themeColor="text1"/>
          <w:spacing w:val="0"/>
          <w:sz w:val="32"/>
          <w:szCs w:val="32"/>
          <w:highlight w:val="none"/>
          <w:u w:val="none"/>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月-</w:t>
      </w:r>
      <w:r>
        <w:rPr>
          <w:rFonts w:hint="default" w:ascii="Times New Roman" w:hAnsi="Times New Roman" w:eastAsia="楷体_GB2312" w:cs="Times New Roman"/>
          <w:b/>
          <w:bCs/>
          <w:color w:val="000000" w:themeColor="text1"/>
          <w:spacing w:val="0"/>
          <w:sz w:val="32"/>
          <w:szCs w:val="32"/>
          <w:highlight w:val="none"/>
          <w:u w:val="none"/>
          <w:lang w:val="en-US" w:eastAsia="zh-CN"/>
          <w14:textFill>
            <w14:solidFill>
              <w14:schemeClr w14:val="tx1"/>
            </w14:solidFill>
          </w14:textFill>
        </w:rPr>
        <w:t>10</w:t>
      </w: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市民政局每月通过民政统计台账、全国儿童福利系统等信息系统及信息台账等及时掌握、监督资金发放情况，持续督促指导，确保孤儿、事实无人抚养儿童资金发放到位。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开展困境儿童关爱保护工作，</w:t>
      </w:r>
      <w:r>
        <w:rPr>
          <w:rFonts w:hint="default" w:ascii="Times New Roman" w:hAnsi="Times New Roman" w:eastAsia="仿宋_GB2312" w:cs="Times New Roman"/>
          <w:b w:val="0"/>
          <w:bCs w:val="0"/>
          <w:color w:val="000000" w:themeColor="text1"/>
          <w:spacing w:val="0"/>
          <w:sz w:val="32"/>
          <w:szCs w:val="32"/>
          <w:highlight w:val="none"/>
          <w:u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月底前，根据社会组织提供的儿童信息台账、评估档案、探视巡访台账、关爱帮扶措施清单等，对各县（市、区）开展重点儿童监护状况和心理健康专业评估工作进行督促指导；</w:t>
      </w:r>
      <w:r>
        <w:rPr>
          <w:rFonts w:hint="default" w:ascii="Times New Roman" w:hAnsi="Times New Roman" w:eastAsia="仿宋_GB2312" w:cs="Times New Roman"/>
          <w:b w:val="0"/>
          <w:bCs w:val="0"/>
          <w:color w:val="000000" w:themeColor="text1"/>
          <w:spacing w:val="0"/>
          <w:sz w:val="32"/>
          <w:szCs w:val="32"/>
          <w:highlight w:val="none"/>
          <w:u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月底前，对各县（市、区）开展重点儿童关爱帮扶工作进行督促指导。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（三）检查验收（</w:t>
      </w:r>
      <w:r>
        <w:rPr>
          <w:rFonts w:hint="default" w:ascii="Times New Roman" w:hAnsi="Times New Roman" w:eastAsia="楷体_GB2312" w:cs="Times New Roman"/>
          <w:b/>
          <w:bCs/>
          <w:color w:val="000000" w:themeColor="text1"/>
          <w:spacing w:val="0"/>
          <w:sz w:val="32"/>
          <w:szCs w:val="32"/>
          <w:highlight w:val="none"/>
          <w:u w:val="none"/>
          <w:lang w:val="en-US" w:eastAsia="zh-CN"/>
          <w14:textFill>
            <w14:solidFill>
              <w14:schemeClr w14:val="tx1"/>
            </w14:solidFill>
          </w14:textFill>
        </w:rPr>
        <w:t>11</w:t>
      </w: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市民政局牵头，市残联、市文明办、团市委、市妇联、市红十字会联合组织对项目实施开展满意度测评，结合测评结果及掌握情况形成总结报告报省民政厅。</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t>四、资金安排</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（一）基本生活保障资金。</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u w:val="none"/>
          <w:lang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.孤儿、事实无人抚养儿童基本生活费，由市县财政统筹困难群众救助补助资金安排，省财政给予适当补助。</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u w:val="none"/>
          <w:lang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.残疾孤儿（残疾事实无人抚养儿童）照料护理补贴所需资金由市县财政负担。</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（二）留守儿童情感关怀和心理健康服务经费。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留守儿童情感关怀和心理健康服务购买专业社会服务经费由市县财政统筹安排。</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t>五、责任主体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（一）部门责任领导。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市民政局党组成员、副局长</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曾</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华</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市残联党组成员、副理事长</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陈茂峰</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市委宣传部副部长</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徐</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团市委副书记</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徐 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市妇联党组成员、副主席</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兰国红</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市红十字会党组成员、副会长</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黄</w:t>
      </w:r>
      <w:r>
        <w:rPr>
          <w:rFonts w:hint="eastAsia" w:ascii="仿宋_GB2312" w:hAnsi="仿宋_GB2312" w:eastAsia="仿宋_GB2312" w:cs="仿宋_GB2312"/>
          <w:b w:val="0"/>
          <w:bCs w:val="0"/>
          <w:color w:val="000000" w:themeColor="text1"/>
          <w:spacing w:val="0"/>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霞</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（二）牵头单位责任处室。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市民政局儿童福利科，负责人：姬浚渭，经办人及办公电话：郑丽，</w:t>
      </w:r>
      <w:r>
        <w:rPr>
          <w:rFonts w:hint="default" w:ascii="Times New Roman" w:hAnsi="Times New Roman" w:eastAsia="仿宋_GB2312" w:cs="Times New Roman"/>
          <w:b w:val="0"/>
          <w:bCs w:val="0"/>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b w:val="0"/>
          <w:bCs w:val="0"/>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u w:val="none"/>
          <w:lang w:val="en-US" w:eastAsia="zh-CN"/>
          <w14:textFill>
            <w14:solidFill>
              <w14:schemeClr w14:val="tx1"/>
            </w14:solidFill>
          </w14:textFill>
        </w:rPr>
        <w:t>8198110</w:t>
      </w:r>
      <w:r>
        <w:rPr>
          <w:rFonts w:hint="eastAsia" w:ascii="仿宋_GB2312" w:hAnsi="仿宋_GB2312" w:eastAsia="仿宋_GB2312" w:cs="仿宋_GB2312"/>
          <w:b w:val="0"/>
          <w:bCs w:val="0"/>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（三）配合单位责任科室。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市残疾人联合会康复科，负责人：吴宇虹，经办人及办公电话：陈雅玲，</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7920590</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市委宣传部精神文明创建部协调科，负责人：吴骥，经办人及办公电话：张璐璐，</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8</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220076</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团市委青年发展部，负责人：王佳玥，办公电话：</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8199335</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市妇联家庭和儿童工作部，负责人：任梦菲，办公电话：电话</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8199579</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市红十字会服务中心、赈灾科负责人：戴佩玲、邱国锋，办公电话：</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8179833</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079</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u w:val="none"/>
          <w:lang w:val="en-US" w:eastAsia="zh-CN"/>
          <w14:textFill>
            <w14:solidFill>
              <w14:schemeClr w14:val="tx1"/>
            </w14:solidFill>
          </w14:textFill>
        </w:rPr>
        <w:t>8229382</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（四）实施主体。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各县（市、区）人民政府。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640" w:leftChars="0"/>
        <w:jc w:val="both"/>
        <w:textAlignment w:val="auto"/>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t>六、完成时限。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20</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日前。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both"/>
        <w:textAlignment w:val="auto"/>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pPr>
      <w:r>
        <w:rPr>
          <w:rFonts w:hint="eastAsia" w:ascii="黑体" w:hAnsi="黑体" w:eastAsia="黑体" w:cs="黑体"/>
          <w:color w:val="000000" w:themeColor="text1"/>
          <w:spacing w:val="0"/>
          <w:sz w:val="32"/>
          <w:szCs w:val="32"/>
          <w:highlight w:val="none"/>
          <w:u w:val="none"/>
          <w:lang w:eastAsia="zh-CN"/>
          <w14:textFill>
            <w14:solidFill>
              <w14:schemeClr w14:val="tx1"/>
            </w14:solidFill>
          </w14:textFill>
        </w:rPr>
        <w:t>七、保障措施</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（一）明确职责分工。</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各县（市、区）民政局牵头负责项目计划安排、督促协调和组织实施等工作；市残联、市文明办、市妇联、市红十字会依据各自职责，积极配合做好相关工作。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（二）加强督促检查。</w:t>
      </w:r>
      <w:r>
        <w:rPr>
          <w:rFonts w:hint="eastAsia" w:ascii="仿宋_GB2312" w:hAnsi="仿宋_GB2312" w:eastAsia="仿宋_GB2312" w:cs="仿宋_GB2312"/>
          <w:color w:val="000000" w:themeColor="text1"/>
          <w:spacing w:val="0"/>
          <w:sz w:val="32"/>
          <w:szCs w:val="32"/>
          <w:highlight w:val="none"/>
          <w:u w:val="none"/>
          <w:lang w:eastAsia="zh-CN"/>
          <w14:textFill>
            <w14:solidFill>
              <w14:schemeClr w14:val="tx1"/>
            </w14:solidFill>
          </w14:textFill>
        </w:rPr>
        <w:t>各地各有关部门要密切协作，定期调度，加强发放标准、资金落实以及推进情况的监督检查。要管好、用好项目资金，不得截留、挤占或挪用。严格预算执行管理，加快项目执行和支出进度，充分发挥资金使用效益。</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u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（三）完善考核制度。</w:t>
      </w:r>
      <w:r>
        <w:rPr>
          <w:rFonts w:hint="eastAsia" w:ascii="仿宋_GB2312" w:hAnsi="仿宋_GB2312" w:eastAsia="仿宋_GB2312" w:cs="仿宋_GB2312"/>
          <w:color w:val="000000" w:themeColor="text1"/>
          <w:spacing w:val="0"/>
          <w:sz w:val="32"/>
          <w:szCs w:val="32"/>
          <w:u w:val="none"/>
          <w:lang w:eastAsia="zh-CN"/>
          <w14:textFill>
            <w14:solidFill>
              <w14:schemeClr w14:val="tx1"/>
            </w14:solidFill>
          </w14:textFill>
        </w:rPr>
        <w:t>将民生实事项目的完成情况纳入对各县（市、区）民政工作的年度考核，各县（市、区）民政部门要加强对困境儿童关爱保护服务项目全过程的监督指导，确保项目取得实效。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default" w:ascii="黑体" w:hAnsi="黑体" w:eastAsia="黑体" w:cs="黑体"/>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u w:val="none"/>
          <w:lang w:val="en-US" w:eastAsia="zh-CN"/>
          <w14:textFill>
            <w14:solidFill>
              <w14:schemeClr w14:val="tx1"/>
            </w14:solidFill>
          </w14:textFill>
        </w:rPr>
        <w:t>（四）做好政策宣传。</w:t>
      </w:r>
      <w:r>
        <w:rPr>
          <w:rFonts w:hint="eastAsia" w:ascii="仿宋_GB2312" w:hAnsi="仿宋_GB2312" w:eastAsia="仿宋_GB2312" w:cs="仿宋_GB2312"/>
          <w:color w:val="000000" w:themeColor="text1"/>
          <w:spacing w:val="0"/>
          <w:sz w:val="32"/>
          <w:szCs w:val="32"/>
          <w:u w:val="none"/>
          <w:lang w:eastAsia="zh-CN"/>
          <w14:textFill>
            <w14:solidFill>
              <w14:schemeClr w14:val="tx1"/>
            </w14:solidFill>
          </w14:textFill>
        </w:rPr>
        <w:t>针对不同的关爱走访对象，做好相应救助政策的宣传，使得困境儿童的救助政策传达到最末端。同时，询问事实无人抚养儿童与法定监护人有无联系或是否履行监护责任等，若确定与监护人有联系或履行监护责任，按规定要求退出救助。</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default" w:ascii="仿宋" w:hAnsi="仿宋" w:eastAsia="仿宋_GB2312"/>
          <w:color w:val="000000" w:themeColor="text1"/>
          <w:spacing w:val="0"/>
          <w:sz w:val="28"/>
          <w:szCs w:val="28"/>
          <w:lang w:val="en-US" w:eastAsia="zh-CN"/>
          <w14:textFill>
            <w14:solidFill>
              <w14:schemeClr w14:val="tx1"/>
            </w14:solidFill>
          </w14:textFill>
        </w:rPr>
        <w:br w:type="page"/>
      </w:r>
      <w:r>
        <w:rPr>
          <w:rFonts w:hint="eastAsia" w:ascii="黑体" w:hAnsi="黑体" w:eastAsia="黑体" w:cs="黑体"/>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5</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color w:val="000000" w:themeColor="text1"/>
          <w:spacing w:val="0"/>
          <w:sz w:val="36"/>
          <w:szCs w:val="36"/>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关于“推进养老服务体系建设”实施方案</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推进养老服务体系建设</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一、任务目标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（一）全市新建</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家社区嵌入式养老院。</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（二）完成</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户特殊困难老年人家庭居家适老化改造。</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（三）支持</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家市县福利院实施失能护理改造和失智照护楼、照护单元建设。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（四）支持</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家市县福利院配建医务室、护理站。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（五）支持</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家乡镇敬老院新建、改扩建、改造提升和消防设施设备改造。</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二、实施内容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（一）社区嵌入式养老院建设。</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按照</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分钟“养老服务圈”要求，重点在老年人口较多、养老服务需求较大的社区建设社区嵌入式养老院，为老年人提供照护托养、日间照料、助餐、助娱、康复护理、居家上门等服务，床位规模一般不少于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张，单处建筑面积不少于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750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平方米。</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（二）特殊困难老年人家庭居家适老化改造。</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按照自愿原则为</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户具有上饶市户籍的</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岁及以上分散供养特困人员、城乡低保对象中的高龄、失能、残疾老年人家庭及县级民政部门确定的其他困难老年人家庭提供居家适老化改造服务，改造内容根据老年人家庭情况、身体状况及住宅实际情况确定，主要有施工改造、设施设备、老年用品配置等方面。</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（三）市县福利院实施失能护理改造和失智照护楼、照护单元建设。</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聚焦满足失能失智老年人长期照护需求，按照《集中照护机构设置规范》、《养老机构失智老年人照护服务规范》有关要求，对市县福利院失能人员集中照护专区进行改造，开辟失智照护楼或失智照护单元，护理型床位占比达到</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80</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%，为失能失智老年人提供生活照料、失能护理、认知康复等专业照护服务。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（四）市县福利院配建医务室、护理站。</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按照《养老机构医务室基本标准（试行）》和《养老机构护理站基本标准（试行）》有关要求，在市县福利院内部设置医务室、护理站。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（五）乡镇敬老院改造提升。</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按照《江西省公办养老院服务设施改造提升基础指标》（赣民发〔</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2019</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号）《江西省公办养老院适老化改造指南》（赣民字〔</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号）有关要求，实施乡镇敬老院改造提升工程，对存在安全隐患且无法进行改扩建、改造提升的乡镇敬老院应进行新建或重建。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三、实施步骤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（一）前期准备（</w:t>
      </w:r>
      <w:r>
        <w:rPr>
          <w:rFonts w:hint="default" w:ascii="Times New Roman" w:hAnsi="Times New Roman" w:eastAsia="楷体_GB2312" w:cs="Times New Roman"/>
          <w:b/>
          <w:bCs/>
          <w:color w:val="000000" w:themeColor="text1"/>
          <w:spacing w:val="0"/>
          <w:sz w:val="32"/>
          <w:szCs w:val="32"/>
          <w:highlight w:val="none"/>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highlight w:val="none"/>
          <w:lang w:val="en-US" w:eastAsia="zh-CN"/>
          <w14:textFill>
            <w14:solidFill>
              <w14:schemeClr w14:val="tx1"/>
            </w14:solidFill>
          </w14:textFill>
        </w:rPr>
        <w:t>月上中旬</w:t>
      </w: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召开全市民生实事项目工作动员部署会，各县（市、区）民政部门结合本地实际，制定工作落实方案，</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建立工作台账，明确包括具体项目点位，资金投入及来源、建设面积、预计开工完工时间等相关信息在内的项目清单。</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（二）项目建设（</w:t>
      </w:r>
      <w:r>
        <w:rPr>
          <w:rFonts w:hint="default" w:ascii="Times New Roman" w:hAnsi="Times New Roman" w:eastAsia="楷体_GB2312" w:cs="Times New Roman"/>
          <w:b/>
          <w:bCs/>
          <w:color w:val="000000" w:themeColor="text1"/>
          <w:spacing w:val="0"/>
          <w:sz w:val="32"/>
          <w:szCs w:val="32"/>
          <w:highlight w:val="none"/>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highlight w:val="none"/>
          <w:lang w:val="en-US" w:eastAsia="zh-CN"/>
          <w14:textFill>
            <w14:solidFill>
              <w14:schemeClr w14:val="tx1"/>
            </w14:solidFill>
          </w14:textFill>
        </w:rPr>
        <w:t>月-</w:t>
      </w:r>
      <w:r>
        <w:rPr>
          <w:rFonts w:hint="default" w:ascii="Times New Roman" w:hAnsi="Times New Roman" w:eastAsia="楷体_GB2312" w:cs="Times New Roman"/>
          <w:b/>
          <w:bCs/>
          <w:color w:val="000000" w:themeColor="text1"/>
          <w:spacing w:val="0"/>
          <w:sz w:val="32"/>
          <w:szCs w:val="32"/>
          <w:highlight w:val="none"/>
          <w:lang w:val="en-US" w:eastAsia="zh-CN"/>
          <w14:textFill>
            <w14:solidFill>
              <w14:schemeClr w14:val="tx1"/>
            </w14:solidFill>
          </w14:textFill>
        </w:rPr>
        <w:t>10</w:t>
      </w:r>
      <w:r>
        <w:rPr>
          <w:rFonts w:hint="eastAsia" w:ascii="楷体_GB2312" w:hAnsi="楷体_GB2312" w:eastAsia="楷体_GB2312" w:cs="楷体_GB2312"/>
          <w:b/>
          <w:bCs/>
          <w:color w:val="000000" w:themeColor="text1"/>
          <w:spacing w:val="0"/>
          <w:sz w:val="32"/>
          <w:szCs w:val="32"/>
          <w:highlight w:val="none"/>
          <w:lang w:val="en-US" w:eastAsia="zh-CN"/>
          <w14:textFill>
            <w14:solidFill>
              <w14:schemeClr w14:val="tx1"/>
            </w14:solidFill>
          </w14:textFill>
        </w:rPr>
        <w:t>月</w:t>
      </w: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全面启动项目建设，市、县两级民政部门做好项目建设监督和指导工作，及时协调解决遇到的困难和问题，确保</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月底完成建设任务。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（三）检查验收（</w:t>
      </w:r>
      <w:r>
        <w:rPr>
          <w:rFonts w:hint="default" w:ascii="Times New Roman" w:hAnsi="Times New Roman" w:eastAsia="楷体_GB2312" w:cs="Times New Roman"/>
          <w:b/>
          <w:bCs/>
          <w:color w:val="000000" w:themeColor="text1"/>
          <w:spacing w:val="0"/>
          <w:sz w:val="32"/>
          <w:szCs w:val="32"/>
          <w:highlight w:val="none"/>
          <w:lang w:val="en-US" w:eastAsia="zh-CN"/>
          <w14:textFill>
            <w14:solidFill>
              <w14:schemeClr w14:val="tx1"/>
            </w14:solidFill>
          </w14:textFill>
        </w:rPr>
        <w:t>11</w:t>
      </w:r>
      <w:r>
        <w:rPr>
          <w:rFonts w:hint="eastAsia" w:ascii="楷体_GB2312" w:hAnsi="楷体_GB2312" w:eastAsia="楷体_GB2312" w:cs="楷体_GB2312"/>
          <w:b/>
          <w:bCs/>
          <w:color w:val="000000" w:themeColor="text1"/>
          <w:spacing w:val="0"/>
          <w:sz w:val="32"/>
          <w:szCs w:val="32"/>
          <w:highlight w:val="none"/>
          <w:lang w:val="en-US" w:eastAsia="zh-CN"/>
          <w14:textFill>
            <w14:solidFill>
              <w14:schemeClr w14:val="tx1"/>
            </w14:solidFill>
          </w14:textFill>
        </w:rPr>
        <w:t>月-</w:t>
      </w:r>
      <w:r>
        <w:rPr>
          <w:rFonts w:hint="default" w:ascii="Times New Roman" w:hAnsi="Times New Roman" w:eastAsia="楷体_GB2312" w:cs="Times New Roman"/>
          <w:b/>
          <w:bCs/>
          <w:color w:val="000000" w:themeColor="text1"/>
          <w:spacing w:val="0"/>
          <w:sz w:val="32"/>
          <w:szCs w:val="32"/>
          <w:highlight w:val="none"/>
          <w:lang w:val="en-US" w:eastAsia="zh-CN"/>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highlight w:val="none"/>
          <w:lang w:val="en-US" w:eastAsia="zh-CN"/>
          <w14:textFill>
            <w14:solidFill>
              <w14:schemeClr w14:val="tx1"/>
            </w14:solidFill>
          </w14:textFill>
        </w:rPr>
        <w:t>月</w:t>
      </w: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lang w:eastAsia="zh-CN"/>
          <w14:textFill>
            <w14:solidFill>
              <w14:schemeClr w14:val="tx1"/>
            </w14:solidFill>
          </w14:textFill>
        </w:rPr>
        <w:t>各县（市、区）民政局组织工作组，通过现场查看、实地验收等方式，对项目的总体实施情况进行验收，市民政局采取抽查方式对项目进行验收。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黑体" w:hAnsi="黑体" w:eastAsia="黑体" w:cs="黑体"/>
          <w:color w:val="000000" w:themeColor="text1"/>
          <w:spacing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0"/>
          <w:sz w:val="32"/>
          <w:szCs w:val="32"/>
          <w:highlight w:val="none"/>
          <w:lang w:val="en-US" w:eastAsia="zh-CN"/>
          <w14:textFill>
            <w14:solidFill>
              <w14:schemeClr w14:val="tx1"/>
            </w14:solidFill>
          </w14:textFill>
        </w:rPr>
        <w:t>四、资金安排</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财政部门统筹</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安排养老服务体系建设补助</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资金予以支持，各地财政按规定承担相应支出责任。</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五、责任主体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3"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（一）</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部门责任领导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市民政局党组成员、副局长  曾  华</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牵头单位责任科室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市民政局养老服务科，负责人：姬浚渭，经办人及办公电话：江伟晴，</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8198110</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配合单位责任科室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市卫健委员会老龄办，负责人：邱华辉，经办人及</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default"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办公电话：李磊，</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8201136</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（四）实施主体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各县（市、区）人民政府。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六、完成时限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日前。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七、保障措施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（一）明确职责分工。</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各县（市、区）人民政府作为项目实施主体，全面负责项目建设推进工作。各县（市、区）民政部门认真制定和完善项目实施方案，科学合理分解工作任务，层层落实工作责任。要坚持分级负责，通力合作，加强协调，真抓实干，强化作理念，确保工作质量和全年目标任务完成,</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t>（二）加强督促检查。</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市民政局建立调度督查工作机制，每月对项目建设情况进行调度通报。并组成督查小组，采取综合督查与专项检查、定期与不定期、明察与暗访相结合的方式，对项目建设进度、资金使用、工程质量等情况进行调度、督查，及时通报推进情况，对存在的问题及时纠正整改，确保项目建设顺利推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（三）完善考核制度。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将民生实事完成情况纳入对各县（市、区）综合考评内容。各县（市、区）政府要加强监督，及时把握进展情况，确保项目顺利完成。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附：各县（市、区）“推进养老服务体系建设”计划表</w:t>
      </w:r>
    </w:p>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w:t>
      </w:r>
    </w:p>
    <w:p>
      <w:pPr>
        <w:pStyle w:val="13"/>
        <w:keepNext w:val="0"/>
        <w:keepLines w:val="0"/>
        <w:pageBreakBefore w:val="0"/>
        <w:widowControl w:val="0"/>
        <w:kinsoku/>
        <w:wordWrap/>
        <w:overflowPunct w:val="0"/>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color w:val="000000" w:themeColor="text1"/>
          <w:spacing w:val="0"/>
          <w:sz w:val="34"/>
          <w:szCs w:val="3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4"/>
          <w:szCs w:val="34"/>
          <w:lang w:val="en-US" w:eastAsia="zh-CN"/>
          <w14:textFill>
            <w14:solidFill>
              <w14:schemeClr w14:val="tx1"/>
            </w14:solidFill>
          </w14:textFill>
        </w:rPr>
        <w:t>各县（市、区）“推进养老服务体系建设”计划表</w:t>
      </w:r>
    </w:p>
    <w:tbl>
      <w:tblPr>
        <w:tblStyle w:val="10"/>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456"/>
        <w:gridCol w:w="1456"/>
        <w:gridCol w:w="1456"/>
        <w:gridCol w:w="1456"/>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456" w:type="dxa"/>
            <w:noWrap w:val="0"/>
            <w:vAlign w:val="center"/>
          </w:tcPr>
          <w:p>
            <w:pPr>
              <w:keepNext w:val="0"/>
              <w:keepLines w:val="0"/>
              <w:pageBreakBefore w:val="0"/>
              <w:widowControl w:val="0"/>
              <w:numPr>
                <w:ilvl w:val="0"/>
                <w:numId w:val="0"/>
              </w:numPr>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t>县（市、区）</w:t>
            </w:r>
          </w:p>
        </w:tc>
        <w:tc>
          <w:tcPr>
            <w:tcW w:w="1456" w:type="dxa"/>
            <w:noWrap w:val="0"/>
            <w:vAlign w:val="center"/>
          </w:tcPr>
          <w:p>
            <w:pPr>
              <w:keepNext w:val="0"/>
              <w:keepLines w:val="0"/>
              <w:pageBreakBefore w:val="0"/>
              <w:widowControl w:val="0"/>
              <w:numPr>
                <w:ilvl w:val="0"/>
                <w:numId w:val="0"/>
              </w:numPr>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t>社区嵌入式养老院</w:t>
            </w:r>
          </w:p>
          <w:p>
            <w:pPr>
              <w:keepNext w:val="0"/>
              <w:keepLines w:val="0"/>
              <w:pageBreakBefore w:val="0"/>
              <w:widowControl w:val="0"/>
              <w:numPr>
                <w:ilvl w:val="0"/>
                <w:numId w:val="0"/>
              </w:numPr>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t>（家）</w:t>
            </w:r>
          </w:p>
        </w:tc>
        <w:tc>
          <w:tcPr>
            <w:tcW w:w="1456" w:type="dxa"/>
            <w:noWrap w:val="0"/>
            <w:vAlign w:val="center"/>
          </w:tcPr>
          <w:p>
            <w:pPr>
              <w:keepNext w:val="0"/>
              <w:keepLines w:val="0"/>
              <w:pageBreakBefore w:val="0"/>
              <w:widowControl w:val="0"/>
              <w:numPr>
                <w:ilvl w:val="0"/>
                <w:numId w:val="0"/>
              </w:numPr>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pacing w:val="0"/>
                <w:sz w:val="20"/>
                <w:szCs w:val="20"/>
                <w:vertAlign w:val="baseline"/>
                <w:lang w:val="en-US" w:eastAsia="zh-CN"/>
                <w14:textFill>
                  <w14:solidFill>
                    <w14:schemeClr w14:val="tx1"/>
                  </w14:solidFill>
                </w14:textFill>
              </w:rPr>
              <w:t>特殊困难老年人居家适老化改造（户）</w:t>
            </w:r>
          </w:p>
        </w:tc>
        <w:tc>
          <w:tcPr>
            <w:tcW w:w="145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b w:val="0"/>
                <w:bCs w:val="0"/>
                <w:color w:val="000000" w:themeColor="text1"/>
                <w:spacing w:val="0"/>
                <w:kern w:val="2"/>
                <w:sz w:val="20"/>
                <w:szCs w:val="20"/>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spacing w:val="0"/>
                <w:sz w:val="20"/>
                <w:szCs w:val="20"/>
                <w:vertAlign w:val="baseline"/>
                <w:lang w:eastAsia="zh-CN"/>
                <w14:textFill>
                  <w14:solidFill>
                    <w14:schemeClr w14:val="tx1"/>
                  </w14:solidFill>
                </w14:textFill>
              </w:rPr>
              <w:t>市县福利院失能护理改造和失智照护楼、照护单元建设（家）</w:t>
            </w:r>
          </w:p>
        </w:tc>
        <w:tc>
          <w:tcPr>
            <w:tcW w:w="1456"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b w:val="0"/>
                <w:bCs w:val="0"/>
                <w:color w:val="000000" w:themeColor="text1"/>
                <w:spacing w:val="0"/>
                <w:kern w:val="2"/>
                <w:sz w:val="20"/>
                <w:szCs w:val="20"/>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spacing w:val="0"/>
                <w:sz w:val="20"/>
                <w:szCs w:val="20"/>
                <w:vertAlign w:val="baseline"/>
                <w:lang w:eastAsia="zh-CN"/>
                <w14:textFill>
                  <w14:solidFill>
                    <w14:schemeClr w14:val="tx1"/>
                  </w14:solidFill>
                </w14:textFill>
              </w:rPr>
              <w:t>市县福利院配建医务室、护理站（家）</w:t>
            </w:r>
          </w:p>
        </w:tc>
        <w:tc>
          <w:tcPr>
            <w:tcW w:w="1459" w:type="dxa"/>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黑体" w:hAnsi="黑体" w:eastAsia="黑体" w:cs="黑体"/>
                <w:b w:val="0"/>
                <w:bCs w:val="0"/>
                <w:color w:val="000000" w:themeColor="text1"/>
                <w:spacing w:val="0"/>
                <w:kern w:val="2"/>
                <w:sz w:val="20"/>
                <w:szCs w:val="20"/>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spacing w:val="0"/>
                <w:sz w:val="20"/>
                <w:szCs w:val="20"/>
                <w:vertAlign w:val="baseline"/>
                <w:lang w:eastAsia="zh-CN"/>
                <w14:textFill>
                  <w14:solidFill>
                    <w14:schemeClr w14:val="tx1"/>
                  </w14:solidFill>
                </w14:textFill>
              </w:rPr>
              <w:t>乡镇敬老院新建、改扩建、改造提升和消防设施设备改造（家）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信州区</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广信区</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广丰区</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2"/>
                <w:sz w:val="24"/>
                <w:szCs w:val="24"/>
                <w:vertAlign w:val="baseline"/>
                <w:lang w:val="en-US" w:eastAsia="zh-CN" w:bidi="ar-SA"/>
                <w14:textFill>
                  <w14:solidFill>
                    <w14:schemeClr w14:val="tx1"/>
                  </w14:solidFill>
                </w14:textFill>
              </w:rPr>
              <w:t>1</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玉山县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180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铅山县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120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2"/>
                <w:sz w:val="24"/>
                <w:szCs w:val="24"/>
                <w:vertAlign w:val="baseline"/>
                <w:lang w:val="en-US" w:eastAsia="zh-CN" w:bidi="ar-SA"/>
                <w14:textFill>
                  <w14:solidFill>
                    <w14:schemeClr w14:val="tx1"/>
                  </w14:solidFill>
                </w14:textFill>
              </w:rPr>
              <w:t>1</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2"/>
                <w:sz w:val="24"/>
                <w:szCs w:val="24"/>
                <w:vertAlign w:val="baseline"/>
                <w:lang w:val="en-US" w:eastAsia="zh-CN" w:bidi="ar-SA"/>
                <w14:textFill>
                  <w14:solidFill>
                    <w14:schemeClr w14:val="tx1"/>
                  </w14:solidFill>
                </w14:textFill>
              </w:rPr>
              <w:t>1</w:t>
            </w: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横峰县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弋阳县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120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余干县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鄱阳县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万年县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140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2"/>
                <w:sz w:val="24"/>
                <w:szCs w:val="24"/>
                <w:vertAlign w:val="baseline"/>
                <w:lang w:val="en-US" w:eastAsia="zh-CN" w:bidi="ar-SA"/>
                <w14:textFill>
                  <w14:solidFill>
                    <w14:schemeClr w14:val="tx1"/>
                  </w14:solidFill>
                </w14:textFill>
              </w:rPr>
              <w:t>1</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德兴市</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婺源县</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140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t>合  计</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6</w:t>
            </w:r>
          </w:p>
        </w:tc>
        <w:tc>
          <w:tcPr>
            <w:tcW w:w="1456" w:type="dxa"/>
            <w:noWrap w:val="0"/>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2000</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3</w:t>
            </w:r>
          </w:p>
        </w:tc>
        <w:tc>
          <w:tcPr>
            <w:tcW w:w="1456"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w:t>
            </w:r>
          </w:p>
        </w:tc>
        <w:tc>
          <w:tcPr>
            <w:tcW w:w="1459" w:type="dxa"/>
            <w:noWrap w:val="0"/>
            <w:vAlign w:val="top"/>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pacing w:val="0"/>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4"/>
                <w:szCs w:val="24"/>
                <w:vertAlign w:val="baseline"/>
                <w:lang w:val="en-US" w:eastAsia="zh-CN"/>
                <w14:textFill>
                  <w14:solidFill>
                    <w14:schemeClr w14:val="tx1"/>
                  </w14:solidFill>
                </w14:textFill>
              </w:rPr>
              <w:t>29</w:t>
            </w:r>
          </w:p>
        </w:tc>
      </w:tr>
    </w:tbl>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6</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宋体" w:hAnsi="宋体" w:eastAsia="宋体" w:cs="宋体"/>
          <w:b/>
          <w:bCs/>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4"/>
          <w:szCs w:val="44"/>
          <w14:textFill>
            <w14:solidFill>
              <w14:schemeClr w14:val="tx1"/>
            </w14:solidFill>
          </w14:textFill>
        </w:rPr>
        <w:t>关于“加大婴幼儿入托补贴补助力度”的</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4"/>
          <w:szCs w:val="44"/>
          <w14:textFill>
            <w14:solidFill>
              <w14:schemeClr w14:val="tx1"/>
            </w14:solidFill>
          </w14:textFill>
        </w:rPr>
        <w:t>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加大婴幼儿入托补贴补助力度</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一、任务目标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充分调动社会力量,完善以普惠性托育机构为主的幼托服务体系,鼓励机构降低收费标准,进一步减轻群众生育养育负担,提高我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托育服务供给水平。</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二、实施内容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（一）服务对象。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.在本</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14:textFill>
            <w14:solidFill>
              <w14:schemeClr w14:val="tx1"/>
            </w14:solidFill>
          </w14:textFill>
        </w:rPr>
        <w:t>辖区内注册登记,且在县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级</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卫健</w:t>
      </w:r>
      <w:r>
        <w:rPr>
          <w:rFonts w:hint="eastAsia" w:ascii="仿宋_GB2312" w:hAnsi="仿宋_GB2312" w:eastAsia="仿宋_GB2312" w:cs="仿宋_GB2312"/>
          <w:color w:val="000000" w:themeColor="text1"/>
          <w:spacing w:val="0"/>
          <w:sz w:val="32"/>
          <w:szCs w:val="32"/>
          <w14:textFill>
            <w14:solidFill>
              <w14:schemeClr w14:val="tx1"/>
            </w14:solidFill>
          </w14:textFill>
        </w:rPr>
        <w:t>部门备案,运营满一年以上的托育机构。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.按照不高于本地政府普惠指导价招收</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岁以下婴幼儿并向社会公开收费标准的普惠性托育机构。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.近三年内无违规办托行为、无群体性事件、无安全责任事故。</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普惠性幼儿园</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含公办幼儿园和普惠性民办幼儿园</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延伸办托班的,可参照享受入托补助。</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（二）服务内容。</w:t>
      </w:r>
      <w:r>
        <w:rPr>
          <w:rFonts w:hint="eastAsia" w:ascii="仿宋_GB2312" w:hAnsi="仿宋_GB2312" w:eastAsia="仿宋_GB2312" w:cs="仿宋_GB2312"/>
          <w:color w:val="000000" w:themeColor="text1"/>
          <w:spacing w:val="0"/>
          <w:sz w:val="32"/>
          <w:szCs w:val="32"/>
          <w14:textFill>
            <w14:solidFill>
              <w14:schemeClr w14:val="tx1"/>
            </w14:solidFill>
          </w14:textFill>
        </w:rPr>
        <w:t>按当地政府普惠指导价招收</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岁以下婴幼儿的普惠托育机构,根据实际招收的托育人数和月数,财政给予补助。符合条件的托育机构按照属地管理的原则,向所在县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）卫健</w:t>
      </w:r>
      <w:r>
        <w:rPr>
          <w:rFonts w:hint="eastAsia" w:ascii="仿宋_GB2312" w:hAnsi="仿宋_GB2312" w:eastAsia="仿宋_GB2312" w:cs="仿宋_GB2312"/>
          <w:color w:val="000000" w:themeColor="text1"/>
          <w:spacing w:val="0"/>
          <w:sz w:val="32"/>
          <w:szCs w:val="32"/>
          <w14:textFill>
            <w14:solidFill>
              <w14:schemeClr w14:val="tx1"/>
            </w14:solidFill>
          </w14:textFill>
        </w:rPr>
        <w:t>部门提交托育补贴申请。补助资金每年发放一次。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（三）补助标准。</w:t>
      </w:r>
      <w:r>
        <w:rPr>
          <w:rFonts w:hint="eastAsia" w:ascii="仿宋_GB2312" w:hAnsi="仿宋_GB2312" w:eastAsia="仿宋_GB2312" w:cs="仿宋_GB2312"/>
          <w:color w:val="000000" w:themeColor="text1"/>
          <w:spacing w:val="0"/>
          <w:sz w:val="32"/>
          <w:szCs w:val="32"/>
          <w14:textFill>
            <w14:solidFill>
              <w14:schemeClr w14:val="tx1"/>
            </w14:solidFill>
          </w14:textFill>
        </w:rPr>
        <w:t>根据普惠托育机构实际招收的托育人数</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和月数,财政按每人每月</w:t>
      </w:r>
      <w:r>
        <w:rPr>
          <w:rFonts w:hint="default" w:ascii="Times New Roman" w:hAnsi="Times New Roman" w:eastAsia="仿宋_GB2312" w:cs="Times New Roman"/>
          <w:color w:val="000000" w:themeColor="text1"/>
          <w:spacing w:val="0"/>
          <w:sz w:val="32"/>
          <w:szCs w:val="32"/>
          <w14:textFill>
            <w14:solidFill>
              <w14:schemeClr w14:val="tx1"/>
            </w14:solidFill>
          </w14:textFill>
        </w:rPr>
        <w:t>300</w:t>
      </w:r>
      <w:r>
        <w:rPr>
          <w:rFonts w:hint="eastAsia" w:ascii="仿宋_GB2312" w:hAnsi="仿宋_GB2312" w:eastAsia="仿宋_GB2312" w:cs="仿宋_GB2312"/>
          <w:color w:val="000000" w:themeColor="text1"/>
          <w:spacing w:val="0"/>
          <w:sz w:val="32"/>
          <w:szCs w:val="32"/>
          <w14:textFill>
            <w14:solidFill>
              <w14:schemeClr w14:val="tx1"/>
            </w14:solidFill>
          </w14:textFill>
        </w:rPr>
        <w:t>元的标准补助。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三、实施步骤</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（一）筹备阶段（</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2023</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年</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3</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4</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pacing w:val="0"/>
          <w:sz w:val="32"/>
          <w:szCs w:val="32"/>
          <w:lang w:val="en" w:eastAsia="zh-CN"/>
          <w14:textFill>
            <w14:solidFill>
              <w14:schemeClr w14:val="tx1"/>
            </w14:solidFill>
          </w14:textFill>
        </w:rPr>
        <w:t>日</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前，</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符合条件的托育机构（</w:t>
      </w:r>
      <w:r>
        <w:rPr>
          <w:rFonts w:hint="eastAsia" w:ascii="仿宋_GB2312" w:hAnsi="仿宋_GB2312" w:eastAsia="仿宋_GB2312" w:cs="仿宋_GB2312"/>
          <w:color w:val="000000" w:themeColor="text1"/>
          <w:spacing w:val="0"/>
          <w:sz w:val="32"/>
          <w:szCs w:val="32"/>
          <w14:textFill>
            <w14:solidFill>
              <w14:schemeClr w14:val="tx1"/>
            </w14:solidFill>
          </w14:textFill>
        </w:rPr>
        <w:t>普惠性幼儿园</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）向所在地县级卫健部门提出申请并提交当年每月入托人员花名册、</w:t>
      </w:r>
      <w:r>
        <w:rPr>
          <w:rFonts w:hint="eastAsia" w:ascii="仿宋_GB2312" w:hAnsi="仿宋_GB2312" w:eastAsia="仿宋_GB2312" w:cs="仿宋_GB2312"/>
          <w:color w:val="000000" w:themeColor="text1"/>
          <w:spacing w:val="0"/>
          <w:sz w:val="32"/>
          <w:szCs w:val="32"/>
          <w14:textFill>
            <w14:solidFill>
              <w14:schemeClr w14:val="tx1"/>
            </w14:solidFill>
          </w14:textFill>
        </w:rPr>
        <w:t>收费凭证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、补贴告知书</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等相关材料。</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新</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通过备案且符合条件的托育机构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之后</w:t>
      </w:r>
      <w:r>
        <w:rPr>
          <w:rFonts w:hint="eastAsia" w:ascii="仿宋_GB2312" w:hAnsi="仿宋_GB2312" w:eastAsia="仿宋_GB2312" w:cs="仿宋_GB2312"/>
          <w:color w:val="000000" w:themeColor="text1"/>
          <w:spacing w:val="0"/>
          <w:sz w:val="32"/>
          <w:szCs w:val="32"/>
          <w14:textFill>
            <w14:solidFill>
              <w14:schemeClr w14:val="tx1"/>
            </w14:solidFill>
          </w14:textFill>
        </w:rPr>
        <w:t>招收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岁以下婴幼儿</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应于</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个月内及时提交申请及相关资料。</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4</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月</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30</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日前将入托人员花名册及相关</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原始</w:t>
      </w:r>
      <w:r>
        <w:rPr>
          <w:rFonts w:hint="eastAsia" w:ascii="仿宋_GB2312" w:hAnsi="仿宋_GB2312" w:eastAsia="仿宋_GB2312" w:cs="仿宋_GB2312"/>
          <w:color w:val="000000" w:themeColor="text1"/>
          <w:spacing w:val="0"/>
          <w:sz w:val="32"/>
          <w:szCs w:val="32"/>
          <w14:textFill>
            <w14:solidFill>
              <w14:schemeClr w14:val="tx1"/>
            </w14:solidFill>
          </w14:textFill>
        </w:rPr>
        <w:t>凭证</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上传至市</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卫健委备案，作为</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2023</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年度入托补贴基础数据。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（二）</w:t>
      </w:r>
      <w:r>
        <w:rPr>
          <w:rFonts w:hint="eastAsia" w:ascii="楷体_GB2312" w:hAnsi="楷体_GB2312" w:eastAsia="楷体_GB2312" w:cs="楷体_GB2312"/>
          <w:b/>
          <w:bCs/>
          <w:color w:val="000000" w:themeColor="text1"/>
          <w:spacing w:val="0"/>
          <w:kern w:val="0"/>
          <w:sz w:val="32"/>
          <w:szCs w:val="32"/>
          <w:lang w:val="en" w:eastAsia="zh-CN" w:bidi="ar"/>
          <w14:textFill>
            <w14:solidFill>
              <w14:schemeClr w14:val="tx1"/>
            </w14:solidFill>
          </w14:textFill>
        </w:rPr>
        <w:t>实施阶段</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2023</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 xml:space="preserve"> 年</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4</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10</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月）。</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县</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市、区</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）卫健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部门在收到申请后,通过实地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走访、</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查看相关资料、电话联系入托人员家属等方式进行初审,报同级财政部门复核。两部门审核同意后,将审核结果分别在各自官方网站上公示,</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公示无异议的视为符合补贴发放条件。</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 w:eastAsia="zh-CN" w:bidi="ar"/>
          <w14:textFill>
            <w14:solidFill>
              <w14:schemeClr w14:val="tx1"/>
            </w14:solidFill>
          </w14:textFill>
        </w:rPr>
        <w:t>（三）验收阶段（</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2023</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年</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11</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12</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月</w:t>
      </w:r>
      <w:r>
        <w:rPr>
          <w:rFonts w:hint="eastAsia" w:ascii="楷体_GB2312" w:hAnsi="楷体_GB2312" w:eastAsia="楷体_GB2312" w:cs="楷体_GB2312"/>
          <w:b/>
          <w:bCs/>
          <w:color w:val="000000" w:themeColor="text1"/>
          <w:spacing w:val="0"/>
          <w:kern w:val="0"/>
          <w:sz w:val="32"/>
          <w:szCs w:val="32"/>
          <w:lang w:val="en"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0"/>
          <w:sz w:val="32"/>
          <w:szCs w:val="32"/>
          <w:lang w:val="en" w:eastAsia="zh-CN" w:bidi="ar"/>
          <w14:textFill>
            <w14:solidFill>
              <w14:schemeClr w14:val="tx1"/>
            </w14:solidFill>
          </w14:textFill>
        </w:rPr>
        <w:t>对</w:t>
      </w:r>
      <w:r>
        <w:rPr>
          <w:rFonts w:hint="eastAsia" w:ascii="仿宋_GB2312" w:hAnsi="仿宋_GB2312" w:eastAsia="仿宋_GB2312" w:cs="仿宋_GB2312"/>
          <w:b w:val="0"/>
          <w:bCs w:val="0"/>
          <w:color w:val="000000" w:themeColor="text1"/>
          <w:spacing w:val="0"/>
          <w:kern w:val="0"/>
          <w:sz w:val="32"/>
          <w:szCs w:val="32"/>
          <w:lang w:val="en-US" w:eastAsia="zh-CN" w:bidi="ar"/>
          <w14:textFill>
            <w14:solidFill>
              <w14:schemeClr w14:val="tx1"/>
            </w14:solidFill>
          </w14:textFill>
        </w:rPr>
        <w:t>符合补贴发放条件的托育机构，在</w:t>
      </w:r>
      <w:r>
        <w:rPr>
          <w:rFonts w:hint="default" w:ascii="Times New Roman" w:hAnsi="Times New Roman" w:eastAsia="仿宋_GB2312" w:cs="Times New Roman"/>
          <w:b w:val="0"/>
          <w:bCs w:val="0"/>
          <w:color w:val="000000" w:themeColor="text1"/>
          <w:spacing w:val="0"/>
          <w:kern w:val="0"/>
          <w:sz w:val="32"/>
          <w:szCs w:val="32"/>
          <w:lang w:val="en-US" w:eastAsia="zh-CN" w:bidi="ar"/>
          <w14:textFill>
            <w14:solidFill>
              <w14:schemeClr w14:val="tx1"/>
            </w14:solidFill>
          </w14:textFill>
        </w:rPr>
        <w:t>2023</w:t>
      </w:r>
      <w:r>
        <w:rPr>
          <w:rFonts w:hint="eastAsia" w:ascii="仿宋_GB2312" w:hAnsi="仿宋_GB2312" w:eastAsia="仿宋_GB2312" w:cs="仿宋_GB2312"/>
          <w:b w:val="0"/>
          <w:bCs w:val="0"/>
          <w:color w:val="000000" w:themeColor="text1"/>
          <w:spacing w:val="0"/>
          <w:kern w:val="0"/>
          <w:sz w:val="32"/>
          <w:szCs w:val="32"/>
          <w:lang w:val="en-US" w:eastAsia="zh-CN" w:bidi="ar"/>
          <w14:textFill>
            <w14:solidFill>
              <w14:schemeClr w14:val="tx1"/>
            </w14:solidFill>
          </w14:textFill>
        </w:rPr>
        <w:t>年</w:t>
      </w:r>
      <w:r>
        <w:rPr>
          <w:rFonts w:hint="default" w:ascii="Times New Roman" w:hAnsi="Times New Roman" w:eastAsia="仿宋_GB2312" w:cs="Times New Roman"/>
          <w:b w:val="0"/>
          <w:bCs w:val="0"/>
          <w:color w:val="000000" w:themeColor="text1"/>
          <w:spacing w:val="0"/>
          <w:kern w:val="0"/>
          <w:sz w:val="32"/>
          <w:szCs w:val="32"/>
          <w:lang w:val="en-US" w:eastAsia="zh-CN" w:bidi="ar"/>
          <w14:textFill>
            <w14:solidFill>
              <w14:schemeClr w14:val="tx1"/>
            </w14:solidFill>
          </w14:textFill>
        </w:rPr>
        <w:t>12</w:t>
      </w:r>
      <w:r>
        <w:rPr>
          <w:rFonts w:hint="eastAsia" w:ascii="仿宋_GB2312" w:hAnsi="仿宋_GB2312" w:eastAsia="仿宋_GB2312" w:cs="仿宋_GB2312"/>
          <w:b w:val="0"/>
          <w:bCs w:val="0"/>
          <w:color w:val="000000" w:themeColor="text1"/>
          <w:spacing w:val="0"/>
          <w:kern w:val="0"/>
          <w:sz w:val="32"/>
          <w:szCs w:val="32"/>
          <w:lang w:val="en-US" w:eastAsia="zh-CN" w:bidi="ar"/>
          <w14:textFill>
            <w14:solidFill>
              <w14:schemeClr w14:val="tx1"/>
            </w14:solidFill>
          </w14:textFill>
        </w:rPr>
        <w:t>月</w:t>
      </w:r>
      <w:r>
        <w:rPr>
          <w:rFonts w:hint="default" w:ascii="Times New Roman" w:hAnsi="Times New Roman" w:eastAsia="仿宋_GB2312" w:cs="Times New Roman"/>
          <w:b w:val="0"/>
          <w:bCs w:val="0"/>
          <w:color w:val="000000" w:themeColor="text1"/>
          <w:spacing w:val="0"/>
          <w:kern w:val="0"/>
          <w:sz w:val="32"/>
          <w:szCs w:val="32"/>
          <w:lang w:val="en-US" w:eastAsia="zh-CN" w:bidi="ar"/>
          <w14:textFill>
            <w14:solidFill>
              <w14:schemeClr w14:val="tx1"/>
            </w14:solidFill>
          </w14:textFill>
        </w:rPr>
        <w:t>15</w:t>
      </w:r>
      <w:r>
        <w:rPr>
          <w:rFonts w:hint="eastAsia" w:ascii="仿宋_GB2312" w:hAnsi="仿宋_GB2312" w:eastAsia="仿宋_GB2312" w:cs="仿宋_GB2312"/>
          <w:b w:val="0"/>
          <w:bCs w:val="0"/>
          <w:color w:val="000000" w:themeColor="text1"/>
          <w:spacing w:val="0"/>
          <w:kern w:val="0"/>
          <w:sz w:val="32"/>
          <w:szCs w:val="32"/>
          <w:lang w:val="en-US" w:eastAsia="zh-CN" w:bidi="ar"/>
          <w14:textFill>
            <w14:solidFill>
              <w14:schemeClr w14:val="tx1"/>
            </w14:solidFill>
          </w14:textFill>
        </w:rPr>
        <w:t>日前将补贴发放到位</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同时向</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市</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卫健委</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报备。</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市卫健</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委</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将</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组织对各地落实情况进行抽查,对相关工作进行考核验收。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四、资金安排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所需资金西部政策延伸县由省、县财政按</w:t>
      </w:r>
      <w:r>
        <w:rPr>
          <w:rFonts w:hint="default" w:ascii="Times New Roman" w:hAnsi="Times New Roman" w:eastAsia="仿宋_GB2312" w:cs="Times New Roman"/>
          <w:color w:val="000000" w:themeColor="text1"/>
          <w:spacing w:val="0"/>
          <w:sz w:val="32"/>
          <w:szCs w:val="32"/>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分担,其他县按</w:t>
      </w: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14:textFill>
            <w14:solidFill>
              <w14:schemeClr w14:val="tx1"/>
            </w14:solidFill>
          </w14:textFill>
        </w:rPr>
        <w:t>7</w:t>
      </w:r>
      <w:r>
        <w:rPr>
          <w:rFonts w:hint="eastAsia" w:ascii="仿宋_GB2312" w:hAnsi="仿宋_GB2312" w:eastAsia="仿宋_GB2312" w:cs="仿宋_GB2312"/>
          <w:color w:val="000000" w:themeColor="text1"/>
          <w:spacing w:val="0"/>
          <w:sz w:val="32"/>
          <w:szCs w:val="32"/>
          <w14:textFill>
            <w14:solidFill>
              <w14:schemeClr w14:val="tx1"/>
            </w14:solidFill>
          </w14:textFill>
        </w:rPr>
        <w:t>分担</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，市县分别负担本级托育机构相关补助</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五、责任主体</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（一）部门责任领导。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市卫健</w:t>
      </w:r>
      <w:r>
        <w:rPr>
          <w:rFonts w:hint="eastAsia" w:ascii="仿宋_GB2312" w:hAnsi="仿宋_GB2312" w:eastAsia="仿宋_GB2312" w:cs="仿宋_GB2312"/>
          <w:color w:val="000000" w:themeColor="text1"/>
          <w:spacing w:val="0"/>
          <w:sz w:val="32"/>
          <w:szCs w:val="32"/>
          <w14:textFill>
            <w14:solidFill>
              <w14:schemeClr w14:val="tx1"/>
            </w14:solidFill>
          </w14:textFill>
        </w:rPr>
        <w:t>委</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三级调研员</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王丹凤</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（二）牵头单位责任处室。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市卫健</w:t>
      </w:r>
      <w:r>
        <w:rPr>
          <w:rFonts w:hint="eastAsia" w:ascii="仿宋_GB2312" w:hAnsi="仿宋_GB2312" w:eastAsia="仿宋_GB2312" w:cs="仿宋_GB2312"/>
          <w:color w:val="000000" w:themeColor="text1"/>
          <w:spacing w:val="0"/>
          <w:sz w:val="32"/>
          <w:szCs w:val="32"/>
          <w14:textFill>
            <w14:solidFill>
              <w14:schemeClr w14:val="tx1"/>
            </w14:solidFill>
          </w14:textFill>
        </w:rPr>
        <w:t>委人口家庭</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科</w:t>
      </w:r>
      <w:r>
        <w:rPr>
          <w:rFonts w:hint="eastAsia" w:ascii="仿宋_GB2312" w:hAnsi="仿宋_GB2312" w:eastAsia="仿宋_GB2312" w:cs="仿宋_GB2312"/>
          <w:color w:val="000000" w:themeColor="text1"/>
          <w:spacing w:val="0"/>
          <w:sz w:val="32"/>
          <w:szCs w:val="32"/>
          <w14:textFill>
            <w14:solidFill>
              <w14:schemeClr w14:val="tx1"/>
            </w14:solidFill>
          </w14:textFill>
        </w:rPr>
        <w:t>,责任人: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杨桦</w:t>
      </w:r>
      <w:r>
        <w:rPr>
          <w:rFonts w:hint="eastAsia" w:ascii="仿宋_GB2312" w:hAnsi="仿宋_GB2312" w:eastAsia="仿宋_GB2312" w:cs="仿宋_GB2312"/>
          <w:color w:val="000000" w:themeColor="text1"/>
          <w:spacing w:val="0"/>
          <w:sz w:val="32"/>
          <w:szCs w:val="32"/>
          <w14:textFill>
            <w14:solidFill>
              <w14:schemeClr w14:val="tx1"/>
            </w14:solidFill>
          </w14:textFill>
        </w:rPr>
        <w:t>,经办人及办公电话:</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吴蔚</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8232647</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（三）实施主体。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各县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市、区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）卫健</w:t>
      </w:r>
      <w:r>
        <w:rPr>
          <w:rFonts w:hint="eastAsia" w:ascii="仿宋_GB2312" w:hAnsi="仿宋_GB2312" w:eastAsia="仿宋_GB2312" w:cs="仿宋_GB2312"/>
          <w:color w:val="000000" w:themeColor="text1"/>
          <w:spacing w:val="0"/>
          <w:sz w:val="32"/>
          <w:szCs w:val="32"/>
          <w14:textFill>
            <w14:solidFill>
              <w14:schemeClr w14:val="tx1"/>
            </w14:solidFill>
          </w14:textFill>
        </w:rPr>
        <w:t>部门。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六、完成时限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2023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eastAsia" w:ascii="仿宋_GB2312" w:hAnsi="仿宋_GB2312" w:eastAsia="仿宋_GB2312" w:cs="仿宋_GB2312"/>
          <w:color w:val="000000" w:themeColor="text1"/>
          <w:spacing w:val="0"/>
          <w:sz w:val="32"/>
          <w:szCs w:val="32"/>
          <w14:textFill>
            <w14:solidFill>
              <w14:schemeClr w14:val="tx1"/>
            </w14:solidFill>
          </w14:textFill>
        </w:rPr>
        <w:t>日前。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lang w:eastAsia="zh-CN"/>
          <w14:textFill>
            <w14:solidFill>
              <w14:schemeClr w14:val="tx1"/>
            </w14:solidFill>
          </w14:textFill>
        </w:rPr>
      </w:pPr>
      <w:r>
        <w:rPr>
          <w:rFonts w:hint="eastAsia" w:ascii="黑体" w:hAnsi="黑体" w:eastAsia="黑体" w:cs="黑体"/>
          <w:b w:val="0"/>
          <w:bCs w:val="0"/>
          <w:color w:val="000000" w:themeColor="text1"/>
          <w:spacing w:val="0"/>
          <w:sz w:val="32"/>
          <w:szCs w:val="32"/>
          <w:lang w:eastAsia="zh-CN"/>
          <w14:textFill>
            <w14:solidFill>
              <w14:schemeClr w14:val="tx1"/>
            </w14:solidFill>
          </w14:textFill>
        </w:rPr>
        <w:t>七、工作要求</w:t>
      </w:r>
    </w:p>
    <w:p>
      <w:pPr>
        <w:pStyle w:val="8"/>
        <w:keepNext w:val="0"/>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（一）强化组织领导。</w:t>
      </w:r>
      <w:r>
        <w:rPr>
          <w:rFonts w:hint="eastAsia" w:ascii="仿宋_GB2312" w:hAnsi="仿宋_GB2312" w:eastAsia="仿宋_GB2312" w:cs="仿宋_GB2312"/>
          <w:color w:val="000000" w:themeColor="text1"/>
          <w:spacing w:val="0"/>
          <w:sz w:val="32"/>
          <w:szCs w:val="32"/>
          <w14:textFill>
            <w14:solidFill>
              <w14:schemeClr w14:val="tx1"/>
            </w14:solidFill>
          </w14:textFill>
        </w:rPr>
        <w:t>各地各部门要高度重视婴幼儿入托补贴</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pacing w:val="0"/>
          <w:sz w:val="32"/>
          <w:szCs w:val="32"/>
          <w14:textFill>
            <w14:solidFill>
              <w14:schemeClr w14:val="tx1"/>
            </w14:solidFill>
          </w14:textFill>
        </w:rPr>
        <w:t>工作,将其作为优化生育政策、促进人口长期均衡发展的重要措施</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抓好抓实，</w:t>
      </w:r>
      <w:r>
        <w:rPr>
          <w:rFonts w:hint="eastAsia" w:ascii="仿宋_GB2312" w:hAnsi="仿宋_GB2312" w:eastAsia="仿宋_GB2312" w:cs="仿宋_GB2312"/>
          <w:b w:val="0"/>
          <w:bCs w:val="0"/>
          <w:color w:val="000000" w:themeColor="text1"/>
          <w:spacing w:val="0"/>
          <w:kern w:val="0"/>
          <w:sz w:val="32"/>
          <w:szCs w:val="32"/>
          <w:lang w:val="en-US" w:eastAsia="zh-CN" w:bidi="ar"/>
          <w14:textFill>
            <w14:solidFill>
              <w14:schemeClr w14:val="tx1"/>
            </w14:solidFill>
          </w14:textFill>
        </w:rPr>
        <w:t>鼓励和引导托育机构降低收费标准，切实减轻群众生育养育负担。</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合理界定普惠性托育机构指导价。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依据收费不高于当地民营</w:t>
      </w:r>
      <w:r>
        <w:rPr>
          <w:rFonts w:hint="eastAsia" w:ascii="仿宋_GB2312" w:hAnsi="仿宋_GB2312" w:eastAsia="仿宋_GB2312" w:cs="仿宋_GB2312"/>
          <w:color w:val="000000" w:themeColor="text1"/>
          <w:spacing w:val="0"/>
          <w:sz w:val="32"/>
          <w:szCs w:val="32"/>
          <w14:textFill>
            <w14:solidFill>
              <w14:schemeClr w14:val="tx1"/>
            </w14:solidFill>
          </w14:textFill>
        </w:rPr>
        <w:t>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平均收费标准</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pacing w:val="0"/>
          <w:sz w:val="32"/>
          <w:szCs w:val="32"/>
          <w14:textFill>
            <w14:solidFill>
              <w14:schemeClr w14:val="tx1"/>
            </w14:solidFill>
          </w14:textFill>
        </w:rPr>
        <w:t>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普</w:t>
      </w:r>
      <w:r>
        <w:rPr>
          <w:rFonts w:hint="eastAsia" w:ascii="仿宋_GB2312" w:hAnsi="仿宋_GB2312" w:eastAsia="仿宋_GB2312" w:cs="仿宋_GB2312"/>
          <w:color w:val="000000" w:themeColor="text1"/>
          <w:spacing w:val="0"/>
          <w:sz w:val="32"/>
          <w:szCs w:val="32"/>
          <w14:textFill>
            <w14:solidFill>
              <w14:schemeClr w14:val="tx1"/>
            </w14:solidFill>
          </w14:textFill>
        </w:rPr>
        <w:t>惠性托育机构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。分两类测算确定</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普</w:t>
      </w:r>
      <w:r>
        <w:rPr>
          <w:rFonts w:hint="eastAsia" w:ascii="仿宋_GB2312" w:hAnsi="仿宋_GB2312" w:eastAsia="仿宋_GB2312" w:cs="仿宋_GB2312"/>
          <w:color w:val="000000" w:themeColor="text1"/>
          <w:spacing w:val="0"/>
          <w:sz w:val="32"/>
          <w:szCs w:val="32"/>
          <w14:textFill>
            <w14:solidFill>
              <w14:schemeClr w14:val="tx1"/>
            </w14:solidFill>
          </w14:textFill>
        </w:rPr>
        <w:t>惠性托育机构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收费标准，其中中心城区（信州区、广信区、广丰区、经开区、高铁新区）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普</w:t>
      </w:r>
      <w:r>
        <w:rPr>
          <w:rFonts w:hint="eastAsia" w:ascii="仿宋_GB2312" w:hAnsi="仿宋_GB2312" w:eastAsia="仿宋_GB2312" w:cs="仿宋_GB2312"/>
          <w:color w:val="000000" w:themeColor="text1"/>
          <w:spacing w:val="0"/>
          <w:sz w:val="32"/>
          <w:szCs w:val="32"/>
          <w14:textFill>
            <w14:solidFill>
              <w14:schemeClr w14:val="tx1"/>
            </w14:solidFill>
          </w14:textFill>
        </w:rPr>
        <w:t>惠性托育机构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收费标准为</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1881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元/月，其他县（市、区）和三清山风景名胜区普</w:t>
      </w:r>
      <w:r>
        <w:rPr>
          <w:rFonts w:hint="eastAsia" w:ascii="仿宋_GB2312" w:hAnsi="仿宋_GB2312" w:eastAsia="仿宋_GB2312" w:cs="仿宋_GB2312"/>
          <w:color w:val="000000" w:themeColor="text1"/>
          <w:spacing w:val="0"/>
          <w:sz w:val="32"/>
          <w:szCs w:val="32"/>
          <w14:textFill>
            <w14:solidFill>
              <w14:schemeClr w14:val="tx1"/>
            </w14:solidFill>
          </w14:textFill>
        </w:rPr>
        <w:t>惠性托育机构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收费标准为</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1306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元/月。以上两类收费不含餐费及其它学杂费。</w:t>
      </w:r>
    </w:p>
    <w:p>
      <w:pPr>
        <w:pStyle w:val="8"/>
        <w:keepNext w:val="0"/>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580" w:lineRule="exact"/>
        <w:ind w:left="0" w:firstLine="42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（三）明确幼儿园延伸托班申请补贴条件。</w:t>
      </w:r>
      <w:r>
        <w:rPr>
          <w:rFonts w:hint="eastAsia" w:ascii="仿宋_GB2312" w:hAnsi="仿宋_GB2312" w:eastAsia="仿宋_GB2312" w:cs="仿宋_GB2312"/>
          <w:color w:val="000000" w:themeColor="text1"/>
          <w:spacing w:val="0"/>
          <w:sz w:val="32"/>
          <w:szCs w:val="32"/>
          <w14:textFill>
            <w14:solidFill>
              <w14:schemeClr w14:val="tx1"/>
            </w14:solidFill>
          </w14:textFill>
        </w:rPr>
        <w:t>一是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具备开展托育服务的</w:t>
      </w:r>
      <w:r>
        <w:rPr>
          <w:rFonts w:hint="eastAsia" w:ascii="仿宋_GB2312" w:hAnsi="仿宋_GB2312" w:eastAsia="仿宋_GB2312" w:cs="仿宋_GB2312"/>
          <w:color w:val="000000" w:themeColor="text1"/>
          <w:spacing w:val="0"/>
          <w:sz w:val="32"/>
          <w:szCs w:val="32"/>
          <w14:textFill>
            <w14:solidFill>
              <w14:schemeClr w14:val="tx1"/>
            </w14:solidFill>
          </w14:textFill>
        </w:rPr>
        <w:t>注册登记</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或在现有营业执照经营范围（业务范围）中含有托育服务内容，且是</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普</w:t>
      </w:r>
      <w:r>
        <w:rPr>
          <w:rFonts w:hint="eastAsia" w:ascii="仿宋_GB2312" w:hAnsi="仿宋_GB2312" w:eastAsia="仿宋_GB2312" w:cs="仿宋_GB2312"/>
          <w:color w:val="000000" w:themeColor="text1"/>
          <w:spacing w:val="0"/>
          <w:sz w:val="32"/>
          <w:szCs w:val="32"/>
          <w14:textFill>
            <w14:solidFill>
              <w14:schemeClr w14:val="tx1"/>
            </w14:solidFill>
          </w14:textFill>
        </w:rPr>
        <w:t>惠性</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幼儿园。</w:t>
      </w:r>
      <w:r>
        <w:rPr>
          <w:rFonts w:hint="eastAsia" w:ascii="仿宋_GB2312" w:hAnsi="仿宋_GB2312" w:eastAsia="仿宋_GB2312" w:cs="仿宋_GB2312"/>
          <w:color w:val="000000" w:themeColor="text1"/>
          <w:spacing w:val="0"/>
          <w:sz w:val="32"/>
          <w:szCs w:val="32"/>
          <w14:textFill>
            <w14:solidFill>
              <w14:schemeClr w14:val="tx1"/>
            </w14:solidFill>
          </w14:textFill>
        </w:rPr>
        <w:t>二是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要符合国家卫健委关于托育机构设置标准（试行）和托育机构管理规范（试行）的通知要求。</w:t>
      </w:r>
      <w:r>
        <w:rPr>
          <w:rFonts w:hint="eastAsia" w:ascii="仿宋_GB2312" w:hAnsi="仿宋_GB2312" w:eastAsia="仿宋_GB2312" w:cs="仿宋_GB2312"/>
          <w:color w:val="000000" w:themeColor="text1"/>
          <w:spacing w:val="0"/>
          <w:sz w:val="32"/>
          <w:szCs w:val="32"/>
          <w14:textFill>
            <w14:solidFill>
              <w14:schemeClr w14:val="tx1"/>
            </w14:solidFill>
          </w14:textFill>
        </w:rPr>
        <w:t>对实行混班制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管理的</w:t>
      </w:r>
      <w:r>
        <w:rPr>
          <w:rFonts w:hint="eastAsia" w:ascii="仿宋_GB2312" w:hAnsi="仿宋_GB2312" w:eastAsia="仿宋_GB2312" w:cs="仿宋_GB2312"/>
          <w:color w:val="000000" w:themeColor="text1"/>
          <w:spacing w:val="0"/>
          <w:sz w:val="32"/>
          <w:szCs w:val="32"/>
          <w14:textFill>
            <w14:solidFill>
              <w14:schemeClr w14:val="tx1"/>
            </w14:solidFill>
          </w14:textFill>
        </w:rPr>
        <w:t>幼儿园延伸托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育不给予</w:t>
      </w:r>
      <w:r>
        <w:rPr>
          <w:rFonts w:hint="eastAsia" w:ascii="仿宋_GB2312" w:hAnsi="仿宋_GB2312" w:eastAsia="仿宋_GB2312" w:cs="仿宋_GB2312"/>
          <w:color w:val="000000" w:themeColor="text1"/>
          <w:spacing w:val="0"/>
          <w:sz w:val="32"/>
          <w:szCs w:val="32"/>
          <w14:textFill>
            <w14:solidFill>
              <w14:schemeClr w14:val="tx1"/>
            </w14:solidFill>
          </w14:textFill>
        </w:rPr>
        <w:t>补贴。</w:t>
      </w:r>
    </w:p>
    <w:p>
      <w:pPr>
        <w:pStyle w:val="8"/>
        <w:keepNext w:val="0"/>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pacing w:val="0"/>
          <w:kern w:val="0"/>
          <w:sz w:val="32"/>
          <w:szCs w:val="32"/>
          <w:lang w:val="en-US" w:eastAsia="zh-CN" w:bidi="ar"/>
          <w14:textFill>
            <w14:solidFill>
              <w14:schemeClr w14:val="tx1"/>
            </w14:solidFill>
          </w14:textFill>
        </w:rPr>
        <w:t>确保政策落实到位。</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县（市、区）卫健</w:t>
      </w:r>
      <w:r>
        <w:rPr>
          <w:rFonts w:hint="eastAsia" w:ascii="仿宋_GB2312" w:hAnsi="仿宋_GB2312" w:eastAsia="仿宋_GB2312" w:cs="仿宋_GB2312"/>
          <w:color w:val="000000" w:themeColor="text1"/>
          <w:spacing w:val="0"/>
          <w:sz w:val="32"/>
          <w:szCs w:val="32"/>
          <w14:textFill>
            <w14:solidFill>
              <w14:schemeClr w14:val="tx1"/>
            </w14:solidFill>
          </w14:textFill>
        </w:rPr>
        <w:t>部门要把好审核关,对</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pacing w:val="0"/>
          <w:sz w:val="32"/>
          <w:szCs w:val="32"/>
          <w14:textFill>
            <w14:solidFill>
              <w14:schemeClr w14:val="tx1"/>
            </w14:solidFill>
          </w14:textFill>
        </w:rPr>
        <w:t>补助的机构</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要</w:t>
      </w:r>
      <w:r>
        <w:rPr>
          <w:rFonts w:hint="eastAsia" w:ascii="仿宋_GB2312" w:hAnsi="仿宋_GB2312" w:eastAsia="仿宋_GB2312" w:cs="仿宋_GB2312"/>
          <w:color w:val="000000" w:themeColor="text1"/>
          <w:spacing w:val="0"/>
          <w:sz w:val="32"/>
          <w:szCs w:val="32"/>
          <w14:textFill>
            <w14:solidFill>
              <w14:schemeClr w14:val="tx1"/>
            </w14:solidFill>
          </w14:textFill>
        </w:rPr>
        <w:t>不定期上门了解情况,保证入托补助名单真实和补助资金安全。申</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请</w:t>
      </w:r>
      <w:r>
        <w:rPr>
          <w:rFonts w:hint="eastAsia" w:ascii="仿宋_GB2312" w:hAnsi="仿宋_GB2312" w:eastAsia="仿宋_GB2312" w:cs="仿宋_GB2312"/>
          <w:color w:val="000000" w:themeColor="text1"/>
          <w:spacing w:val="0"/>
          <w:sz w:val="32"/>
          <w:szCs w:val="32"/>
          <w14:textFill>
            <w14:solidFill>
              <w14:schemeClr w14:val="tx1"/>
            </w14:solidFill>
          </w14:textFill>
        </w:rPr>
        <w:t>入托补助资金的机构对申报材料的真实性负责,并出具申报诚信承诺书。对发现弄虚作假、骗取资格的,取消或追回其补助经费,且三年内不得享受任何托育补助政策,涉嫌犯罪的移交公安机关。</w:t>
      </w:r>
    </w:p>
    <w:p>
      <w:pPr>
        <w:pStyle w:val="8"/>
        <w:keepNext w:val="0"/>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8"/>
        <w:keepNext w:val="0"/>
        <w:keepLines w:val="0"/>
        <w:pageBreakBefore w:val="0"/>
        <w:widowControl w:val="0"/>
        <w:suppressLineNumbers w:val="0"/>
        <w:kinsoku/>
        <w:wordWrap/>
        <w:overflowPunct w:val="0"/>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各县（市、区）“加大婴幼儿入托补贴补助力度”计划表</w:t>
      </w:r>
    </w:p>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w:t>
      </w:r>
    </w:p>
    <w:tbl>
      <w:tblPr>
        <w:tblStyle w:val="9"/>
        <w:tblW w:w="8980" w:type="dxa"/>
        <w:tblInd w:w="0" w:type="dxa"/>
        <w:shd w:val="clear" w:color="auto" w:fill="auto"/>
        <w:tblLayout w:type="fixed"/>
        <w:tblCellMar>
          <w:top w:w="0" w:type="dxa"/>
          <w:left w:w="0" w:type="dxa"/>
          <w:bottom w:w="0" w:type="dxa"/>
          <w:right w:w="0" w:type="dxa"/>
        </w:tblCellMar>
      </w:tblPr>
      <w:tblGrid>
        <w:gridCol w:w="2518"/>
        <w:gridCol w:w="6462"/>
      </w:tblGrid>
      <w:tr>
        <w:tblPrEx>
          <w:shd w:val="clear" w:color="auto" w:fill="auto"/>
          <w:tblCellMar>
            <w:top w:w="0" w:type="dxa"/>
            <w:left w:w="0" w:type="dxa"/>
            <w:bottom w:w="0" w:type="dxa"/>
            <w:right w:w="0" w:type="dxa"/>
          </w:tblCellMar>
        </w:tblPrEx>
        <w:trPr>
          <w:trHeight w:val="1321" w:hRule="atLeast"/>
        </w:trPr>
        <w:tc>
          <w:tcPr>
            <w:tcW w:w="898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宋体" w:hAnsi="宋体" w:eastAsia="宋体" w:cs="宋体"/>
                <w:b/>
                <w:i w:val="0"/>
                <w:color w:val="000000" w:themeColor="text1"/>
                <w:spacing w:val="0"/>
                <w:sz w:val="32"/>
                <w:szCs w:val="32"/>
                <w:u w:val="none"/>
                <w14:textFill>
                  <w14:solidFill>
                    <w14:schemeClr w14:val="tx1"/>
                  </w14:solidFill>
                </w14:textFill>
              </w:rPr>
            </w:pPr>
            <w:r>
              <w:rPr>
                <w:rFonts w:hint="eastAsia" w:ascii="方正小标宋简体" w:hAnsi="方正小标宋简体" w:eastAsia="方正小标宋简体" w:cs="方正小标宋简体"/>
                <w:b w:val="0"/>
                <w:bCs/>
                <w:i w:val="0"/>
                <w:color w:val="000000" w:themeColor="text1"/>
                <w:spacing w:val="0"/>
                <w:kern w:val="0"/>
                <w:sz w:val="34"/>
                <w:szCs w:val="34"/>
                <w:u w:val="none"/>
                <w:lang w:val="en-US" w:eastAsia="zh-CN" w:bidi="ar"/>
                <w14:textFill>
                  <w14:solidFill>
                    <w14:schemeClr w14:val="tx1"/>
                  </w14:solidFill>
                </w14:textFill>
              </w:rPr>
              <w:t>各县（市、区）“加大婴幼儿入托补贴补助力度”计划表</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ascii="仿宋" w:hAnsi="仿宋" w:eastAsia="仿宋" w:cs="仿宋"/>
                <w:b/>
                <w:i w:val="0"/>
                <w:color w:val="000000" w:themeColor="text1"/>
                <w:spacing w:val="0"/>
                <w:sz w:val="28"/>
                <w:szCs w:val="28"/>
                <w:u w:val="none"/>
                <w14:textFill>
                  <w14:solidFill>
                    <w14:schemeClr w14:val="tx1"/>
                  </w14:solidFill>
                </w14:textFill>
              </w:rPr>
            </w:pPr>
            <w:r>
              <w:rPr>
                <w:rFonts w:hint="eastAsia" w:ascii="仿宋" w:hAnsi="仿宋" w:eastAsia="仿宋_GB2312" w:cs="仿宋"/>
                <w:b/>
                <w:i w:val="0"/>
                <w:color w:val="000000" w:themeColor="text1"/>
                <w:spacing w:val="0"/>
                <w:kern w:val="0"/>
                <w:sz w:val="28"/>
                <w:szCs w:val="28"/>
                <w:u w:val="none"/>
                <w:lang w:val="en-US" w:eastAsia="zh-CN" w:bidi="ar"/>
                <w14:textFill>
                  <w14:solidFill>
                    <w14:schemeClr w14:val="tx1"/>
                  </w14:solidFill>
                </w14:textFill>
              </w:rPr>
              <w:t>县（市、区）</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b/>
                <w:i w:val="0"/>
                <w:color w:val="000000" w:themeColor="text1"/>
                <w:spacing w:val="0"/>
                <w:sz w:val="28"/>
                <w:szCs w:val="28"/>
                <w:u w:val="none"/>
                <w14:textFill>
                  <w14:solidFill>
                    <w14:schemeClr w14:val="tx1"/>
                  </w14:solidFill>
                </w14:textFill>
              </w:rPr>
            </w:pPr>
            <w:r>
              <w:rPr>
                <w:rFonts w:hint="eastAsia" w:ascii="仿宋" w:hAnsi="仿宋" w:eastAsia="仿宋_GB2312" w:cs="仿宋"/>
                <w:b/>
                <w:i w:val="0"/>
                <w:color w:val="000000" w:themeColor="text1"/>
                <w:spacing w:val="0"/>
                <w:kern w:val="0"/>
                <w:sz w:val="28"/>
                <w:szCs w:val="28"/>
                <w:u w:val="none"/>
                <w:lang w:val="en-US" w:eastAsia="zh-CN" w:bidi="ar"/>
                <w14:textFill>
                  <w14:solidFill>
                    <w14:schemeClr w14:val="tx1"/>
                  </w14:solidFill>
                </w14:textFill>
              </w:rPr>
              <w:t>托位数（个）</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信州区</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577</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广信区</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789</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广丰区</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821</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玉山县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531</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铅山县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387</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横峰县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198</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弋阳县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361</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余干县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889</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鄱阳县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1268</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万年县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375</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德兴市</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311</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婺源县</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333</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三清山</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18</w:t>
            </w:r>
          </w:p>
        </w:tc>
      </w:tr>
      <w:tr>
        <w:tblPrEx>
          <w:tblCellMar>
            <w:top w:w="0" w:type="dxa"/>
            <w:left w:w="0" w:type="dxa"/>
            <w:bottom w:w="0" w:type="dxa"/>
            <w:right w:w="0" w:type="dxa"/>
          </w:tblCellMar>
        </w:tblPrEx>
        <w:trPr>
          <w:trHeight w:val="66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eastAsia" w:ascii="仿宋" w:hAnsi="仿宋" w:eastAsia="仿宋_GB2312" w:cs="仿宋"/>
                <w:i w:val="0"/>
                <w:color w:val="000000" w:themeColor="text1"/>
                <w:spacing w:val="0"/>
                <w:kern w:val="0"/>
                <w:sz w:val="28"/>
                <w:szCs w:val="28"/>
                <w:u w:val="none"/>
                <w:lang w:val="en-US" w:eastAsia="zh-CN" w:bidi="ar"/>
                <w14:textFill>
                  <w14:solidFill>
                    <w14:schemeClr w14:val="tx1"/>
                  </w14:solidFill>
                </w14:textFill>
              </w:rPr>
              <w:t>经开区</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98</w:t>
            </w:r>
          </w:p>
        </w:tc>
      </w:tr>
      <w:tr>
        <w:tblPrEx>
          <w:tblCellMar>
            <w:top w:w="0" w:type="dxa"/>
            <w:left w:w="0" w:type="dxa"/>
            <w:bottom w:w="0" w:type="dxa"/>
            <w:right w:w="0" w:type="dxa"/>
          </w:tblCellMar>
        </w:tblPrEx>
        <w:trPr>
          <w:trHeight w:val="672"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b/>
                <w:i w:val="0"/>
                <w:color w:val="000000" w:themeColor="text1"/>
                <w:spacing w:val="0"/>
                <w:sz w:val="28"/>
                <w:szCs w:val="28"/>
                <w:u w:val="none"/>
                <w14:textFill>
                  <w14:solidFill>
                    <w14:schemeClr w14:val="tx1"/>
                  </w14:solidFill>
                </w14:textFill>
              </w:rPr>
            </w:pPr>
            <w:r>
              <w:rPr>
                <w:rFonts w:hint="eastAsia" w:ascii="仿宋" w:hAnsi="仿宋" w:eastAsia="仿宋_GB2312" w:cs="仿宋"/>
                <w:b/>
                <w:i w:val="0"/>
                <w:color w:val="000000" w:themeColor="text1"/>
                <w:spacing w:val="0"/>
                <w:kern w:val="0"/>
                <w:sz w:val="28"/>
                <w:szCs w:val="28"/>
                <w:u w:val="none"/>
                <w:lang w:val="en-US" w:eastAsia="zh-CN" w:bidi="ar"/>
                <w14:textFill>
                  <w14:solidFill>
                    <w14:schemeClr w14:val="tx1"/>
                  </w14:solidFill>
                </w14:textFill>
              </w:rPr>
              <w:t>合  计</w:t>
            </w:r>
          </w:p>
        </w:tc>
        <w:tc>
          <w:tcPr>
            <w:tcW w:w="6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仿宋"/>
                <w:b/>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b/>
                <w:i w:val="0"/>
                <w:color w:val="000000" w:themeColor="text1"/>
                <w:spacing w:val="0"/>
                <w:kern w:val="0"/>
                <w:sz w:val="28"/>
                <w:szCs w:val="28"/>
                <w:u w:val="none"/>
                <w:lang w:val="en-US" w:eastAsia="zh-CN" w:bidi="ar"/>
                <w14:textFill>
                  <w14:solidFill>
                    <w14:schemeClr w14:val="tx1"/>
                  </w14:solidFill>
                </w14:textFill>
              </w:rPr>
              <w:t>6956</w:t>
            </w:r>
          </w:p>
        </w:tc>
      </w:tr>
    </w:tbl>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7</w:t>
      </w: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jc w:val="both"/>
        <w:textAlignment w:val="auto"/>
        <w:rPr>
          <w:rFonts w:hint="default"/>
          <w:color w:val="000000" w:themeColor="text1"/>
          <w:spacing w:val="0"/>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关于“为适龄女生免费接种人乳头瘤病毒</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疫苗”的实施方案</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为适龄女生免费接种人乳头瘤病毒疫苗</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一、任务目标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对全市进入初中阶段、未满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周岁、未接种过人乳头瘤病毒（</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）疫苗（以下简称“</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疫苗”）的女学生，按照知情、自愿原则为其免费接种国产二价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二、实施内容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（一）服务对象。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具有江西省上饶市学籍，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年处于初中阶段、未接种过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疫苗且不超过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周岁的女生（以下简称“适龄女生”，年龄界定截至</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（二）服务内容。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.开展适龄女生人数摸底调查，组织宣传动员、健康教育。</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.开展</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疫苗接种。对全市的适龄女生免费接种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剂次国产二价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.明确定点机构。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）项目管理机构。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市妇幼保健院为市级项目管理机构，负责全市此项民生实事工作的培训、指导、质控及相关技术规范制定、项目工作管理、信息上报等工作。各县（市、区）卫健部门需确定</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家医疗保健机构作为县级项目管理机构，原则上为县级妇幼保健机构。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 xml:space="preserve"> 疫苗接种定点服务机构。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按照属地管理和经费承担原则，由各地组织完成全市适龄女生</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疫苗接种。各县（市、区）卫健部门需确定县级适龄女生</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疫苗接种定点服务机构，原则上为县级妇幼保健机构，</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三清山风景名胜区管委会可按照有关要求，确定一家具有预防接种资质的医疗机构为定点服务机构。经开区和高铁新区</w:t>
      </w:r>
      <w:r>
        <w:rPr>
          <w:rFonts w:hint="eastAsia" w:ascii="仿宋_GB2312" w:hAnsi="仿宋_GB2312" w:eastAsia="仿宋_GB2312" w:cs="仿宋_GB2312"/>
          <w:color w:val="000000" w:themeColor="text1"/>
          <w:spacing w:val="0"/>
          <w:sz w:val="32"/>
          <w:szCs w:val="32"/>
          <w:highlight w:val="none"/>
          <w:u w:val="none"/>
          <w:lang w:val="en-US" w:eastAsia="zh-CN"/>
          <w14:textFill>
            <w14:solidFill>
              <w14:schemeClr w14:val="tx1"/>
            </w14:solidFill>
          </w14:textFill>
        </w:rPr>
        <w:t>分别</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由广信区和信州区承担接种服务。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县级妇幼保健机构尚未取得疫苗接种资质的，各县（市、区）卫健部门应尽快协调指导县级妇幼保健机构取得疫苗接种资质，确保民生实事顺利实施。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三、实施步骤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（一）筹备阶段（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9</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.组织宣传动员及人员培训。</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市卫健委委托市妇幼保健院、市疾控中心制作宫颈癌防控和</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相关核心知识、开发健康教育短视频等宣教资料。市卫健委、市妇联、市教育局联合组织市级师资培训。各地逐级拓展培训，采取分层分类、线上线下相结合等培训方式，确保人员培训覆盖项目实施各相关部门、单位及工作人员。</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市妇联发挥组织优势，形成全方位多角度立体宣传态势，营造氛围，积极动员，努力提高群众相关知识知晓率。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市教育局组织学校适龄女生摸底，对适龄女生及家长发放防治宫颈癌宣传资料和相关温馨提示（附</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.疫苗招标采购和使用。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省疾控中心通过公开招标方式，依法统一组织招标，确定中标供应商、疫苗规格和价格。中标供应商按各地需求量供应给各级疾控中心，各地按中标价和供应数量及时付款。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.明晰实施细则及接种流程。</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各县（市、区）卫健部门根据辖区实际制定实施方案并报市卫健委备案，市卫健委指导各县（市、区）完善实施细则，细化工作流程，确定具体接种时间、各阶段工作时间</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节点，落实预防接种门诊定点单位，明确辖区各部门、各单位职责分工。市妇幼保健院负责市属</w:t>
      </w:r>
      <w:bookmarkStart w:id="0" w:name="_GoBack"/>
      <w:bookmarkEnd w:id="0"/>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学校适龄女生</w:t>
      </w:r>
      <w:r>
        <w:rPr>
          <w:rFonts w:hint="default" w:ascii="Times New Roman" w:hAnsi="Times New Roman" w:eastAsia="仿宋_GB2312" w:cs="Times New Roman"/>
          <w:color w:val="000000" w:themeColor="text1"/>
          <w:spacing w:val="0"/>
          <w:sz w:val="32"/>
          <w:szCs w:val="32"/>
          <w:u w:val="none"/>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疫苗接种工作。原则上各地接</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种第一剂次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疫苗应于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月前组织完成，第一剂次接种后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个月组织接种第二剂次。接种对象首剂接种年龄应不满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周岁，接种完</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剂次应不满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周岁。</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（二）实施阶段（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9</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.确定接种时间及接种方式。</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以各县（市、区）为单位，由教育部门组织对本辖区学校自愿接种国产二价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疫苗的适龄女生进行摸底、登记造册（附</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汇总接种意向人数报各级妇幼保健机构。市属学校适龄女生情况由市教育局提供给市妇幼保健院。各级妇幼保健机构将摸底情况反馈至各级疾控中心以确保疫苗供应。定点接种机构根据接种人数，及时与教育部门协调，合理安排时间实行预约接种。项目范围内的无学籍有意愿接种的适龄女性、特殊学校及初中其他年级适龄女生，由监护人陪同或学校组织到定点单位实施接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.做好应急预案及疑似预防接种异常反应（</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AEFI</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）处置工作。</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各接种单位要严格按照《预防接种工作规范》要求规范开展接种工作，确保接种安全。各级疾病预防控制机构应做好</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疫苗接种常见不良反应处置的培训和指导，根据</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AEFI</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监测方案有关要求做好监测、报告、调查、诊断等工作。相关医疗机构要认真做好严重不良反应救治工作，尤其是对急性严重过敏反应（如过敏性休克、喉头水肿）的，应及时进行救治，避免造成严重后果。对诊断结果不认可的病例，各级医学会要按照《预防接种异常反应鉴定办法》及时完成异常反应病例的鉴定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（三）验收阶段（</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市卫健委牵头统计汇总全市适龄女生免费接种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疫苗情况，开展成果验收工作。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四、资金安排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每剂国产二价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疫苗采购预算原则上不超过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元，接种服务费为每剂次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元，每名适龄女生需接种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剂。疫苗采购和接种服务所需资金西部政策延伸县由省、县财政按</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分担，其他县按</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分担，市县分别负担本级学校学生相关接种经费。无学籍适龄女生接种经费由接种机构同级财政负担。</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接种经费每季度据实结算。</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五、责任主体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（一）部门责任领导。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市卫健委党组成员、三级调研员 祝  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（二）牵头单位责任处室。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市卫健委妇幼科，责任人：赵敏，经办人及办公电话：徐丽琴，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8177212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（三）配合单位责任处室。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市妇联家庭和儿童工作部，责任人：任梦菲，经办人及办公电话：任梦菲，</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8199579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市教育局体卫艺科，责任人：韩瑜，经办人及办公电话：吴星云，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8206743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（四）实施主体。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市、县（市、区）医疗保健机构。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六、完成时限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日前。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七、保障措施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（一）强化组织领导。</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各地各有关部门要高度重视</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疫苗接种工作，加强组织领导，统筹部署协调，细化工作方案，优化工作流程，强化组织管理，确保接种工作顺利推进。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（二）明确职责分工。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.管理部门。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级卫健部门负责牵头制定实施方案、技术方案、接种流程、宣传教育核心信息等，组织实施疫苗接种工作，加强全过程的健康教育、政策宣传、随访管理等。教育部门负责收集汇总受种对象信息、发放温馨提示，在校内深入开展宫颈癌预防相关知识健康教育和疫苗接种宣传动员，根据摸底情况全面组织适龄女生，协调卫健委有序开展接种等工作。财政部门负责经费保障和资金使用监管工作。妇联组织负责广泛开展宫颈癌防控和</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疫苗接种政策的科普宣传和社会动员等。</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.各级医疗卫生机构。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各级疾控中心做好疫苗接收、存储、分发、指导、疑似预防接种异常反应监测与处置等相关工作。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各相关医疗机构负责</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疫苗接种医疗救治保障，一旦发生</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AEFI</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等事件，立即按照应急预案做好医疗救治等工作。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各级妇幼保健机构负责项目管理、宫颈癌防治的科普宣传、协助督导质控等工作。各级定点接种单位负责具体实施预防接种，做好疫苗使用管理、接种信息登记报告、政策和科普宣传等工作。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（三）加强督导质控。</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牵头成立项目工作组和专家技术指导组，联合相关部门采用随机抽查、调研指导等方式，动态跟踪项目工作情况及进展，及时协调解决项目实施过程中遇到的问题。各地要加强辖区内项目推进和管理，定期调度评估工作进展、资金使用、实施情况及效果，确保工作质量。</w:t>
      </w:r>
    </w:p>
    <w:p>
      <w:pPr>
        <w:pStyle w:val="2"/>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color w:val="000000" w:themeColor="text1"/>
          <w:spacing w:val="0"/>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1918" w:leftChars="304" w:hanging="1280" w:hangingChars="4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.各县（市、区）“为适龄女生免费接种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1916" w:leftChars="760" w:hanging="320" w:hangingChars="1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计划表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1280" w:firstLineChars="4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.给女生家长的温馨提示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1280" w:firstLineChars="4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.初中适龄女生</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疫苗受种对象名册</w:t>
      </w:r>
    </w:p>
    <w:p>
      <w:pPr>
        <w:keepNext w:val="0"/>
        <w:keepLines w:val="0"/>
        <w:pageBreakBefore w:val="0"/>
        <w:widowControl w:val="0"/>
        <w:numPr>
          <w:ilvl w:val="0"/>
          <w:numId w:val="0"/>
        </w:numPr>
        <w:kinsoku/>
        <w:wordWrap/>
        <w:overflowPunct w:val="0"/>
        <w:topLinePunct w:val="0"/>
        <w:autoSpaceDE/>
        <w:autoSpaceDN/>
        <w:bidi w:val="0"/>
        <w:adjustRightInd/>
        <w:snapToGrid/>
        <w:spacing w:after="157" w:afterLines="50" w:line="560" w:lineRule="exact"/>
        <w:jc w:val="both"/>
        <w:textAlignment w:val="auto"/>
        <w:rPr>
          <w:rFonts w:hint="eastAsia"/>
          <w:color w:val="000000" w:themeColor="text1"/>
          <w:spacing w:val="0"/>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1</w:t>
      </w:r>
    </w:p>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各县（市、区）“为适龄女生免费接种</w:t>
      </w:r>
      <w:r>
        <w:rPr>
          <w:rFonts w:hint="default" w:ascii="Times New Roman" w:hAnsi="Times New Roman" w:eastAsia="方正小标宋简体" w:cs="Times New Roman"/>
          <w:b w:val="0"/>
          <w:bCs w:val="0"/>
          <w:color w:val="000000" w:themeColor="text1"/>
          <w:spacing w:val="0"/>
          <w:sz w:val="36"/>
          <w:szCs w:val="36"/>
          <w:lang w:val="en-US" w:eastAsia="zh-CN"/>
          <w14:textFill>
            <w14:solidFill>
              <w14:schemeClr w14:val="tx1"/>
            </w14:solidFill>
          </w14:textFill>
        </w:rPr>
        <w:t>HPV</w:t>
      </w: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疫苗”</w:t>
      </w:r>
    </w:p>
    <w:p>
      <w:pPr>
        <w:keepNext w:val="0"/>
        <w:keepLines w:val="0"/>
        <w:pageBreakBefore w:val="0"/>
        <w:widowControl w:val="0"/>
        <w:kinsoku/>
        <w:wordWrap/>
        <w:overflowPunct w:val="0"/>
        <w:topLinePunct w:val="0"/>
        <w:autoSpaceDE/>
        <w:autoSpaceDN/>
        <w:bidi w:val="0"/>
        <w:adjustRightInd/>
        <w:snapToGrid w:val="0"/>
        <w:spacing w:after="157" w:afterLines="50" w:line="240" w:lineRule="auto"/>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计划表</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7"/>
        <w:gridCol w:w="5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sz w:val="28"/>
                <w:szCs w:val="28"/>
                <w:u w:val="none"/>
                <w14:textFill>
                  <w14:solidFill>
                    <w14:schemeClr w14:val="tx1"/>
                  </w14:solidFill>
                </w14:textFill>
              </w:rPr>
              <w:t>县（市、区）</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免费接种</w:t>
            </w:r>
            <w:r>
              <w:rPr>
                <w:rFonts w:hint="default" w:ascii="Times New Roman" w:hAnsi="Times New Roman" w:eastAsia="黑体" w:cs="Times New Roman"/>
                <w:i w:val="0"/>
                <w:color w:val="000000" w:themeColor="text1"/>
                <w:spacing w:val="0"/>
                <w:kern w:val="0"/>
                <w:sz w:val="28"/>
                <w:szCs w:val="28"/>
                <w:u w:val="none"/>
                <w:lang w:val="en-US" w:eastAsia="zh-CN" w:bidi="ar"/>
                <w14:textFill>
                  <w14:solidFill>
                    <w14:schemeClr w14:val="tx1"/>
                  </w14:solidFill>
                </w14:textFill>
              </w:rPr>
              <w:t>HPV</w:t>
            </w: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疫苗任务数（人）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市本级</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 w:eastAsia="zh-CN" w:bidi="ar"/>
                <w14:textFill>
                  <w14:solidFill>
                    <w14:schemeClr w14:val="tx1"/>
                  </w14:solidFill>
                </w14:textFill>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信州区</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w:t>
            </w:r>
            <w:r>
              <w:rPr>
                <w:rFonts w:hint="default" w:ascii="Times New Roman" w:hAnsi="Times New Roman" w:eastAsia="仿宋_GB2312" w:cs="Times New Roman"/>
                <w:i w:val="0"/>
                <w:color w:val="000000" w:themeColor="text1"/>
                <w:spacing w:val="0"/>
                <w:kern w:val="0"/>
                <w:sz w:val="28"/>
                <w:szCs w:val="28"/>
                <w:u w:val="none"/>
                <w:lang w:val="en" w:eastAsia="zh-CN" w:bidi="ar"/>
                <w14:textFill>
                  <w14:solidFill>
                    <w14:schemeClr w14:val="tx1"/>
                  </w14:solidFill>
                </w14:textFil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广信区</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广丰区</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玉山县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铅山县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横峰县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 w:eastAsia="zh-CN" w:bidi="ar"/>
                <w14:textFill>
                  <w14:solidFill>
                    <w14:schemeClr w14:val="tx1"/>
                  </w14:solidFill>
                </w14:textFill>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弋阳县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余干县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鄱阳县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万年县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 w:eastAsia="zh-CN" w:bidi="ar"/>
                <w14:textFill>
                  <w14:solidFill>
                    <w14:schemeClr w14:val="tx1"/>
                  </w14:solidFill>
                </w14:textFill>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德兴市</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婺源县</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default"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合  计</w:t>
            </w:r>
          </w:p>
        </w:tc>
        <w:tc>
          <w:tcPr>
            <w:tcW w:w="52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30000</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注：三管委按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年实际完成数于次年结算资金。</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2</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pacing w:val="0"/>
          <w:sz w:val="44"/>
          <w:szCs w:val="44"/>
          <w:lang w:val="en-US" w:eastAsia="zh-CN"/>
          <w14:textFill>
            <w14:solidFill>
              <w14:schemeClr w14:val="tx1"/>
            </w14:solidFill>
          </w14:textFill>
        </w:rPr>
        <w:t>给女生家长的温馨提示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宫颈癌是严重威胁女性生命健康的“重大杀手”，是目前唯一病因明确的癌症，由高危型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病毒持续感染所致。据统计，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年我国约有新发病例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万，死亡病例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万。近年来我国宫颈癌的发病率呈年轻化和上升的趋势，目前发现最小的宫颈癌患者仅</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岁。但是，由于病因明确，宫颈癌可以通过接种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疫苗，从源头上来预防。世界卫生组织（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WHO</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）的立场文件中明确推荐</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岁女孩接种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疫苗，以尽早获得保护，有效预防、降低宫颈癌和癌前病变发病率。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年，国家卫健委、教育部等</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部委联合印发《关于印发加速消除宫颈癌行动计划（</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2030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年）的通知》，明确“进一步完善宫颈癌防治服务体系，提高综合防治能力”，“推广适龄女孩</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疫苗接种服务”的主要目标。二价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疫苗可预防高危型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病毒引起的感染，有效阻断宫颈癌的发生。未发生性生活的女孩接种效果最好，</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岁仅需接种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剂，是</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疫苗接种的最佳年龄。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为了您孩子的身体健康，建议您尽早带孩子接种</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HPV</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疫苗。</w:t>
      </w:r>
    </w:p>
    <w:p>
      <w:pPr>
        <w:pStyle w:val="2"/>
        <w:keepNext w:val="0"/>
        <w:keepLines w:val="0"/>
        <w:pageBreakBefore w:val="0"/>
        <w:widowControl w:val="0"/>
        <w:kinsoku/>
        <w:wordWrap/>
        <w:overflowPunct w:val="0"/>
        <w:topLinePunct w:val="0"/>
        <w:autoSpaceDE/>
        <w:autoSpaceDN/>
        <w:bidi w:val="0"/>
        <w:adjustRightInd/>
        <w:snapToGrid/>
        <w:spacing w:line="580" w:lineRule="exact"/>
        <w:ind w:left="0" w:leftChars="0" w:firstLine="0" w:firstLineChars="0"/>
        <w:textAlignment w:val="auto"/>
        <w:rPr>
          <w:rFonts w:hint="eastAsia"/>
          <w:color w:val="000000" w:themeColor="text1"/>
          <w:spacing w:val="0"/>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1280" w:firstLineChars="4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市教育局        市卫健委         市妇联</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2"/>
        <w:keepNext w:val="0"/>
        <w:keepLines w:val="0"/>
        <w:pageBreakBefore w:val="0"/>
        <w:widowControl w:val="0"/>
        <w:kinsoku/>
        <w:wordWrap/>
        <w:overflowPunct w:val="0"/>
        <w:topLinePunct w:val="0"/>
        <w:autoSpaceDE/>
        <w:autoSpaceDN/>
        <w:bidi w:val="0"/>
        <w:rPr>
          <w:rFonts w:hint="eastAsia"/>
          <w:color w:val="000000" w:themeColor="text1"/>
          <w:spacing w:val="0"/>
          <w:lang w:val="en-US" w:eastAsia="zh-CN"/>
          <w14:textFill>
            <w14:solidFill>
              <w14:schemeClr w14:val="tx1"/>
            </w14:solidFill>
          </w14:textFill>
        </w:rPr>
        <w:sectPr>
          <w:footerReference r:id="rId3" w:type="default"/>
          <w:pgSz w:w="11906" w:h="16838"/>
          <w:pgMar w:top="1701" w:right="1531" w:bottom="1587" w:left="1531" w:header="851" w:footer="1304"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3</w:t>
      </w:r>
    </w:p>
    <w:p>
      <w:pPr>
        <w:pStyle w:val="2"/>
        <w:keepNext w:val="0"/>
        <w:keepLines w:val="0"/>
        <w:pageBreakBefore w:val="0"/>
        <w:widowControl w:val="0"/>
        <w:kinsoku/>
        <w:wordWrap/>
        <w:overflowPunct w:val="0"/>
        <w:topLinePunct w:val="0"/>
        <w:autoSpaceDE/>
        <w:autoSpaceDN/>
        <w:bidi w:val="0"/>
        <w:ind w:left="0" w:leftChars="0" w:firstLine="0" w:firstLineChars="0"/>
        <w:jc w:val="center"/>
        <w:rPr>
          <w:rFonts w:hint="eastAsia"/>
          <w:color w:val="000000" w:themeColor="text1"/>
          <w:spacing w:val="0"/>
          <w:lang w:val="en-US" w:eastAsia="zh-CN"/>
          <w14:textFill>
            <w14:solidFill>
              <w14:schemeClr w14:val="tx1"/>
            </w14:solidFill>
          </w14:textFill>
        </w:rPr>
      </w:pPr>
      <w:r>
        <w:rPr>
          <w:rFonts w:hint="eastAsia" w:ascii="方正小标宋简体" w:hAnsi="方正小标宋简体" w:eastAsia="方正小标宋简体" w:cs="方正小标宋简体"/>
          <w:i w:val="0"/>
          <w:color w:val="000000" w:themeColor="text1"/>
          <w:spacing w:val="0"/>
          <w:kern w:val="0"/>
          <w:sz w:val="44"/>
          <w:szCs w:val="44"/>
          <w:u w:val="none"/>
          <w:lang w:val="en-US" w:eastAsia="zh-CN" w:bidi="ar"/>
          <w14:textFill>
            <w14:solidFill>
              <w14:schemeClr w14:val="tx1"/>
            </w14:solidFill>
          </w14:textFill>
        </w:rPr>
        <w:t>初中适龄女生</w:t>
      </w:r>
      <w:r>
        <w:rPr>
          <w:rFonts w:hint="default" w:ascii="Times New Roman" w:hAnsi="Times New Roman" w:eastAsia="方正小标宋简体" w:cs="Times New Roman"/>
          <w:i w:val="0"/>
          <w:color w:val="000000" w:themeColor="text1"/>
          <w:spacing w:val="0"/>
          <w:kern w:val="0"/>
          <w:sz w:val="44"/>
          <w:szCs w:val="44"/>
          <w:u w:val="none"/>
          <w:lang w:val="en-US" w:eastAsia="zh-CN" w:bidi="ar"/>
          <w14:textFill>
            <w14:solidFill>
              <w14:schemeClr w14:val="tx1"/>
            </w14:solidFill>
          </w14:textFill>
        </w:rPr>
        <w:t>HPV</w:t>
      </w:r>
      <w:r>
        <w:rPr>
          <w:rFonts w:hint="eastAsia" w:ascii="方正小标宋简体" w:hAnsi="方正小标宋简体" w:eastAsia="方正小标宋简体" w:cs="方正小标宋简体"/>
          <w:i w:val="0"/>
          <w:color w:val="000000" w:themeColor="text1"/>
          <w:spacing w:val="0"/>
          <w:kern w:val="0"/>
          <w:sz w:val="44"/>
          <w:szCs w:val="44"/>
          <w:u w:val="none"/>
          <w:lang w:val="en-US" w:eastAsia="zh-CN" w:bidi="ar"/>
          <w14:textFill>
            <w14:solidFill>
              <w14:schemeClr w14:val="tx1"/>
            </w14:solidFill>
          </w14:textFill>
        </w:rPr>
        <w:t>疫苗受种对象名册</w:t>
      </w:r>
    </w:p>
    <w:tbl>
      <w:tblPr>
        <w:tblStyle w:val="9"/>
        <w:tblW w:w="1381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1028"/>
        <w:gridCol w:w="1025"/>
        <w:gridCol w:w="1314"/>
        <w:gridCol w:w="1314"/>
        <w:gridCol w:w="1540"/>
        <w:gridCol w:w="1314"/>
        <w:gridCol w:w="862"/>
        <w:gridCol w:w="1088"/>
        <w:gridCol w:w="1088"/>
        <w:gridCol w:w="2107"/>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序号</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地区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学生姓名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出生日期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身份证号码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在读学校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班级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监护人</w:t>
            </w:r>
          </w:p>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姓名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监护人</w:t>
            </w:r>
          </w:p>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电话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既往</w:t>
            </w:r>
            <w:r>
              <w:rPr>
                <w:rFonts w:hint="default" w:ascii="Times New Roman" w:hAnsi="Times New Roman" w:eastAsia="黑体" w:cs="Times New Roman"/>
                <w:i w:val="0"/>
                <w:color w:val="000000" w:themeColor="text1"/>
                <w:spacing w:val="0"/>
                <w:kern w:val="0"/>
                <w:sz w:val="28"/>
                <w:szCs w:val="28"/>
                <w:u w:val="none"/>
                <w:lang w:val="en-US" w:eastAsia="zh-CN" w:bidi="ar"/>
                <w14:textFill>
                  <w14:solidFill>
                    <w14:schemeClr w14:val="tx1"/>
                  </w14:solidFill>
                </w14:textFill>
              </w:rPr>
              <w:t>HPV</w:t>
            </w: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疫苗</w:t>
            </w:r>
          </w:p>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8"/>
                <w:szCs w:val="28"/>
                <w:u w:val="none"/>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接种情况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4"/>
                <w:szCs w:val="24"/>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4"/>
                <w:szCs w:val="24"/>
                <w:u w:val="none"/>
                <w:lang w:val="en-US" w:eastAsia="zh-CN" w:bidi="ar"/>
                <w14:textFill>
                  <w14:solidFill>
                    <w14:schemeClr w14:val="tx1"/>
                  </w14:solidFill>
                </w14:textFill>
              </w:rPr>
              <w:t>是否愿意</w:t>
            </w:r>
          </w:p>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sz w:val="24"/>
                <w:szCs w:val="24"/>
                <w:u w:val="none"/>
                <w14:textFill>
                  <w14:solidFill>
                    <w14:schemeClr w14:val="tx1"/>
                  </w14:solidFill>
                </w14:textFill>
              </w:rPr>
            </w:pPr>
            <w:r>
              <w:rPr>
                <w:rFonts w:hint="eastAsia" w:ascii="黑体" w:hAnsi="黑体" w:eastAsia="黑体" w:cs="黑体"/>
                <w:i w:val="0"/>
                <w:color w:val="000000" w:themeColor="text1"/>
                <w:spacing w:val="0"/>
                <w:kern w:val="0"/>
                <w:sz w:val="24"/>
                <w:szCs w:val="24"/>
                <w:u w:val="none"/>
                <w:lang w:val="en-US" w:eastAsia="zh-CN" w:bidi="ar"/>
                <w14:textFill>
                  <w14:solidFill>
                    <w14:schemeClr w14:val="tx1"/>
                  </w14:solidFill>
                </w14:textFill>
              </w:rPr>
              <w:t>接种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jc w:val="center"/>
              <w:rPr>
                <w:rFonts w:hint="eastAsia" w:ascii="宋体" w:hAnsi="宋体" w:eastAsia="宋体" w:cs="宋体"/>
                <w:i w:val="0"/>
                <w:color w:val="000000" w:themeColor="text1"/>
                <w:spacing w:val="0"/>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0" w:type="auto"/>
            <w:gridSpan w:val="11"/>
            <w:tcBorders>
              <w:top w:val="nil"/>
              <w:left w:val="nil"/>
              <w:bottom w:val="nil"/>
              <w:right w:val="nil"/>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val="0"/>
              <w:jc w:val="left"/>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学校负责人：             联系人：             联系人电话：              填表日期：   年    月   日</w:t>
            </w:r>
          </w:p>
        </w:tc>
      </w:tr>
    </w:tbl>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sectPr>
          <w:footerReference r:id="rId4" w:type="default"/>
          <w:pgSz w:w="16838" w:h="11906" w:orient="landscape"/>
          <w:pgMar w:top="1587" w:right="1361" w:bottom="1474" w:left="1361" w:header="851" w:footer="1304" w:gutter="0"/>
          <w:pgNumType w:fmt="decimal"/>
          <w:cols w:space="0" w:num="1"/>
          <w:rtlGutter w:val="0"/>
          <w:docGrid w:type="lines" w:linePitch="312" w:charSpace="0"/>
        </w:sect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8</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color w:val="000000" w:themeColor="text1"/>
          <w:spacing w:val="0"/>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关于“免费提供出生缺陷防控服务”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t>的实施方案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免费提供出生缺陷防控服务</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一、任务目标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为全市孕产妇免费提供产前筛查和新生儿疾病筛查，包括胎儿颈部透明带检查（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NT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检查）、胎儿六大畸形超声常规检查、产前血清学筛查、地中海贫血基因检测，及新生儿遗传代谢病筛查、听力筛查、遗传性耳聋基因检测、先天性心脏病筛查等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项服务。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年产前筛查率达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%，新生儿遗传代谢病筛查率达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98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%，耳聋基因检测率和听力筛查率达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90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%，先天性心脏病筛查率达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t>二、实施内容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（一）服务对象。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全市孕产妇及新生儿。</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（二）服务内容。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u w:val="single"/>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.开展产前筛查和新生儿疾病筛查。</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对全市孕妇每孕次免费提供一次超声胎儿颈部透明带检查（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NT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检查）、产前血清学筛查、地中海贫血基因检测和两次胎儿六大畸形超声常规检查;为新生儿免费提供一次新生儿遗传代谢病筛查（包括苯丙酮尿症（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PKU</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）、先天性甲状腺功能减低症（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CH</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）、先天性肾上腺皮质增生症（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CAH</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）、葡萄糖-</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-磷酸脱氢酶缺乏症（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G6PD</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），以下简称“遗传四项”）、听力筛查、耳聋基因检测、先天性心脏病筛查（包括心脏杂音听诊和经皮血氧饱和度测定）。</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.咨询随访管理。</w:t>
      </w:r>
      <w:r>
        <w:rPr>
          <w:rFonts w:hint="eastAsia" w:ascii="仿宋_GB2312" w:hAnsi="仿宋_GB2312" w:eastAsia="仿宋_GB2312" w:cs="仿宋_GB2312"/>
          <w:color w:val="000000" w:themeColor="text1"/>
          <w:spacing w:val="0"/>
          <w:kern w:val="0"/>
          <w:sz w:val="32"/>
          <w:szCs w:val="32"/>
          <w:u w:val="none"/>
          <w:lang w:val="en-US" w:eastAsia="zh-CN"/>
          <w14:textFill>
            <w14:solidFill>
              <w14:schemeClr w14:val="tx1"/>
            </w14:solidFill>
          </w14:textFill>
        </w:rPr>
        <w:t>全市各级定点机构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服务对象提供咨询指导，召回初筛阳性的孕妇和新生儿并进行随访管理。将需要进一步做产前诊断的孕妇转介至产前诊断机构;将产前诊断阳性孕妇纳入孕产妇高危专案管理;对新生儿疾病筛查阳性的新生儿纳入高危儿管理，并转至相关机构予以诊断干预</w:t>
      </w:r>
      <w:r>
        <w:rPr>
          <w:rFonts w:hint="default" w:ascii="仿宋_GB2312" w:hAnsi="仿宋_GB2312" w:eastAsia="仿宋_GB2312" w:cs="仿宋_GB2312"/>
          <w:color w:val="000000" w:themeColor="text1"/>
          <w:spacing w:val="0"/>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u w:val="none"/>
          <w:lang w:val="en-US" w:eastAsia="zh-CN"/>
          <w14:textFill>
            <w14:solidFill>
              <w14:schemeClr w14:val="tx1"/>
            </w14:solidFill>
          </w14:textFill>
        </w:rPr>
        <w:t>形成服务闭环。</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.明确定点机构。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妇幼保健院为出生缺陷防控服务市级项目管理机构，负责全市项目工作管理、技术指导、信息收集上报等工作。各县（市、区）卫健委需确定一家医疗保健机构作为项目管理机构（原则上为同级妇幼保健机构），负责项目工作管理、信息上报等。</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）产前筛查服务机构。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.市级项目管理机构为市产前诊断中心（市妇幼保健院），负责全市孕妇产前筛查工作的培训、指导、质控及相关技术规范的制定。</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.定点超声检查机构和定点检测机构。市级定点超声检查机构为市妇幼保健院、市人民医院</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和江西医学高等专科学校第一附属医院，</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负责超声胎儿颈部透明带检查（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NT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检查）与胎儿六大畸形超声常规检查。市妇幼保健院负责全市地中海贫血基因检测。</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市妇幼保健院、市人民医院为市级产前血清学筛查定点检测机构；其他县（市、区）有资质的产前筛查机构负责本机构内产前血清学筛查，无开展相对应项目血清学筛查检测资质的产前筛查机构，应与市产前诊断中心（市妇幼保健院）签订服务协议；铅山县、横峰县、弋阳县、余干县因辖区内无对应项目血清学筛查检测资质的产前筛查机构，产前血清学筛查工作应与市产前诊断中心（市妇幼保健院）签订服务协议；三清山风景名胜区、经开区、高铁新区应根据当地实际，协调相关县（区）与市产前诊断中心（市妇幼保健院）签订服务协议，并开展采血、送检服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各县（市、区）定点超声检查机构和定点检测机构必须是产前筛查机构。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.采血机构。各级助产机构均应开展采血服务。</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不具备血清学产前筛查资质的医疗保健机构应与市产前诊断中心（市妇幼保健院）签订服务协议，开展采血服务并及时送检。</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各县（市、区）卫健委要以方便群众为原则确定县级定点超声检查机构与定点检测机构。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）新生儿疾病筛查服务机构。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.遗传四项、耳聋基因检测。市新生儿疾病筛查中心（市妇幼保健院）为市级项目管理机构，负责全市新生儿遗传四项和耳聋基因检测工作的培训、指导、质控及相关技术规范制定。</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定点检测机构。遗传四项、新生儿遗传性耳聋基因定点检测机构为市妇幼保健院。原则上各级助产机构均应开展新生儿足跟血采集等服务。各级助产机构采集新生儿足跟血后将血样标本递送至市新生儿疾病筛查中心（市妇幼保健院）进行检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.听力筛查。市妇幼保健院（市儿童医院）为听力筛查市级项目管理机构，承担人员培训、业务指导及信息上报等工作。各级助产机构均应由接受培训并考核通过的人员开展听力筛查服务。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先天性心脏病筛查。市妇幼保健院（市儿童医院）为新生儿先天性心脏病筛查的市级项目管理机构，承担人员培训及业务指导等工作。市级新生儿先天性心脏病筛查定点机构为市人民医院、市妇幼保健院、江西医学高等专科学校第一附属医院、上饶东信第五医院。为保证筛查质量，各县（市、区）卫健部门对辖区医疗保健机构的筛查工作人员进行培训考核后，指定一家或多家筛查工作人员考核均合格的机构为新生儿先天性心脏病筛查定点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三、实施步骤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（一）筹备阶段（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年 </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下发实施方案和技术方案，开展市级培训，指导基层开展人员考核，提升基层医疗保健机构的服务能力。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（二）实施阶段（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年 </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4</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各级医疗保健机构为全市孕妇免费提供项目包含的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项产前筛查和新生儿疾病筛查服务。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（三）验收阶段（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年 </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 xml:space="preserve"> 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对全市免费提供出生缺陷防控服务工作开展情况进行总结验收。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四、资金安排</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（一）产前筛查和新生儿疾病筛查补助标准。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.产前筛查（</w:t>
      </w:r>
      <w:r>
        <w:rPr>
          <w:rFonts w:hint="default" w:ascii="Times New Roman" w:hAnsi="Times New Roman" w:eastAsia="仿宋_GB2312" w:cs="Times New Roman"/>
          <w:b/>
          <w:bCs/>
          <w:color w:val="000000" w:themeColor="text1"/>
          <w:spacing w:val="0"/>
          <w:sz w:val="32"/>
          <w:szCs w:val="32"/>
          <w:lang w:val="en-US" w:eastAsia="zh-CN"/>
          <w14:textFill>
            <w14:solidFill>
              <w14:schemeClr w14:val="tx1"/>
            </w14:solidFill>
          </w14:textFill>
        </w:rPr>
        <w:t>570</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 xml:space="preserve"> 元/例）。</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具体为：超声胎儿颈部透明带检查（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NT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检查），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元/例;胎儿六大畸形超声常规检查（无脑儿、脑膨出、开放性脊柱裂、胸腹壁缺陷内脏外翻、单腔心、致命性软骨发育不良等），两次共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130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元/例;产前血清学筛查，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190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元/例;地中海贫血基因检测，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.新生儿疾病筛查（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282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元/例）。具体为：遗传四项筛查，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元/例;听力筛查，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元/例;遗传性耳聋基因检测，</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130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元/例;先天性心脏病筛查，</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元/例。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（二）资金分担情况。</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所需资金西部政策延伸县由省、县财政按</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分担，其他县按</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分担。</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结算方</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式：在各级定点检测机构筛查检测的，所需经费由筛查对象户籍所在地财政每季度据实结算；无法确定户籍或外省</w:t>
      </w:r>
      <w:r>
        <w:rPr>
          <w:rFonts w:hint="default" w:ascii="仿宋_GB2312" w:hAnsi="仿宋_GB2312" w:eastAsia="仿宋_GB2312" w:cs="仿宋_GB2312"/>
          <w:color w:val="000000" w:themeColor="text1"/>
          <w:spacing w:val="0"/>
          <w:sz w:val="32"/>
          <w:szCs w:val="32"/>
          <w:u w:val="none"/>
          <w:lang w:val="en" w:eastAsia="zh-CN"/>
          <w14:textFill>
            <w14:solidFill>
              <w14:schemeClr w14:val="tx1"/>
            </w14:solidFill>
          </w14:textFill>
        </w:rPr>
        <w:t>外市</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户籍人员，由检测机构所属财政每季度据实结算。</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color w:val="000000" w:themeColor="text1"/>
          <w:spacing w:val="0"/>
          <w:kern w:val="0"/>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spacing w:val="0"/>
          <w:kern w:val="0"/>
          <w:sz w:val="32"/>
          <w:szCs w:val="32"/>
          <w:u w:val="none"/>
          <w:lang w:val="en-US" w:eastAsia="zh-CN" w:bidi="ar-SA"/>
          <w14:textFill>
            <w14:solidFill>
              <w14:schemeClr w14:val="tx1"/>
            </w14:solidFill>
          </w14:textFill>
        </w:rPr>
        <w:t>各级定点机构须保存好免费检测孕产妇和新生儿的有关资料，留底以备资金结算和审计，同时按照要求上报项目有关数据报表。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五、责任主体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（一）部门责任领导。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市卫健委党组成员、三级调研员  祝  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（二）牵头单位责任处室。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市卫健委妇幼科，责任人：赵敏，经办人及办公电话：徐丽琴，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8177212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（三）实施主体。</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各级医疗保健机构。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六、完成时限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日前。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七、保障措施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（一）高度重视，提高认识。</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出生缺陷防控服务是优化生育政策、践行优生优育策略促进人口长期均衡发展的重要举措，各地卫健部门要统一思想，高度重视，提高认识，强化任务分工，层层压实责任，切实增强责任感、使命感和紧迫感，确保政府民生工程落地见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（二）精心组织，迅速行动。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出生缺陷防控服务</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月份开始实施，时间紧，任务重，各地要迅速行动，制定时间线路图，倒排工期，尽快制定印发本地实施方案和实施细则，确保各项任务落到实处，项目实施取得预期效果。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（三）广泛宣传，积极引导。</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地要广泛宣传出生缺陷防治知识，积极组织开展形式多样的宣传活动，提高人民群众、社会各界对此项民生实事的知晓度、认可度。各地医疗保健机构要周密部署，加强组织引导，提高有关人群对出生缺陷防控服务的接受度和防控知识知晓率，切实提高筛查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（四）补齐短板，提升能力。</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地要鼓励尚未开展相关项目筛查的机构以民事实事实施为契机，补齐短板，进一步加强出生缺陷防控能力建设。要针对各项服务内容，强化人员培训。对于新增服务项目，同步开展线上线下培训，并结合日常进修与出生缺陷人才培训项目等工作，开展培训与复训，提升基层服务能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（五）加强督导，确保质量。</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地要加强对民生实事推进的工作调度、督促指导和考核评估，按照项目目标及时对项目工作进行考核评估。要强化培训和质量控制，保证产前筛查和新生儿疾病筛查质量，提升群众的健康获得感。要加强信息管理，各定点机构必须与省妇幼健康信息平台对接，便于信息上报与质控，有效避免重复建档及检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（六）科学规范，优化服务。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机构要严格按照产前筛查、新生儿疾病筛查相关政策法规、本方案以及技术方案，遵循“尊重意愿、保护隐私、便民便捷、改善体验”的原则，规范开展检测、随访、咨询等服务。充分利用妇幼健康基本公卫服务项目、让爱无缺公益项目等作为民生实事的有益补充，对筛查阳性人员提供进一步诊断和救助服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1598" w:leftChars="304" w:hanging="960" w:hangingChars="3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1598" w:leftChars="304" w:hanging="960" w:hangingChars="3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各县（市、区）“免费提供出生缺陷防控服务”计划表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1280" w:firstLineChars="4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.全市产前筛查机构名单和资质一览表</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280" w:firstLineChars="400"/>
        <w:jc w:val="both"/>
        <w:textAlignment w:val="center"/>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b w:val="0"/>
          <w:bCs/>
          <w:i w:val="0"/>
          <w:color w:val="000000" w:themeColor="text1"/>
          <w:spacing w:val="0"/>
          <w:kern w:val="0"/>
          <w:sz w:val="32"/>
          <w:szCs w:val="32"/>
          <w:u w:val="none"/>
          <w:lang w:val="en-US" w:eastAsia="zh-CN" w:bidi="ar"/>
          <w14:textFill>
            <w14:solidFill>
              <w14:schemeClr w14:val="tx1"/>
            </w14:solidFill>
          </w14:textFill>
        </w:rPr>
        <w:t>2023</w:t>
      </w:r>
      <w:r>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t>年民生实事“免费提供出生缺陷防控服务”市</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1600" w:firstLineChars="500"/>
        <w:jc w:val="both"/>
        <w:textAlignment w:val="center"/>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t>级定点服务机构汇总表</w:t>
      </w:r>
    </w:p>
    <w:p>
      <w:pPr>
        <w:pStyle w:val="2"/>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b w:val="0"/>
          <w:bCs/>
          <w:i w:val="0"/>
          <w:color w:val="000000" w:themeColor="text1"/>
          <w:spacing w:val="0"/>
          <w:kern w:val="0"/>
          <w:sz w:val="32"/>
          <w:szCs w:val="32"/>
          <w:u w:val="no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themeColor="text1"/>
          <w:spacing w:val="0"/>
          <w:sz w:val="32"/>
          <w:szCs w:val="32"/>
          <w:lang w:val="en"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 w:eastAsia="zh-CN"/>
          <w14:textFill>
            <w14:solidFill>
              <w14:schemeClr w14:val="tx1"/>
            </w14:solidFill>
          </w14:textFill>
        </w:rPr>
        <w:t>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各县（市、区）“免费提供出生缺陷防控服务”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计划表</w:t>
      </w:r>
    </w:p>
    <w:tbl>
      <w:tblPr>
        <w:tblStyle w:val="9"/>
        <w:tblW w:w="49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
        <w:gridCol w:w="1488"/>
        <w:gridCol w:w="1522"/>
        <w:gridCol w:w="1662"/>
        <w:gridCol w:w="1815"/>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8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县（市、区）</w:t>
            </w:r>
          </w:p>
        </w:tc>
        <w:tc>
          <w:tcPr>
            <w:tcW w:w="83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产前筛查（人）</w:t>
            </w:r>
          </w:p>
        </w:tc>
        <w:tc>
          <w:tcPr>
            <w:tcW w:w="358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t>新生儿疾病筛查数（人）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8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p>
        </w:tc>
        <w:tc>
          <w:tcPr>
            <w:tcW w:w="83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jc w:val="center"/>
              <w:textAlignment w:val="center"/>
              <w:rPr>
                <w:rFonts w:hint="eastAsia" w:ascii="黑体" w:hAnsi="黑体" w:eastAsia="黑体" w:cs="黑体"/>
                <w:i w:val="0"/>
                <w:color w:val="000000" w:themeColor="text1"/>
                <w:spacing w:val="0"/>
                <w:kern w:val="0"/>
                <w:sz w:val="28"/>
                <w:szCs w:val="28"/>
                <w:u w:val="none"/>
                <w:lang w:val="en-US" w:eastAsia="zh-CN" w:bidi="ar"/>
                <w14:textFill>
                  <w14:solidFill>
                    <w14:schemeClr w14:val="tx1"/>
                  </w14:solidFill>
                </w14:textFill>
              </w:rPr>
            </w:pP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遗传代谢病筛查</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听力筛查</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遗传性耳聋基因检测</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先天性心</w:t>
            </w:r>
          </w:p>
          <w:p>
            <w:pPr>
              <w:keepNext w:val="0"/>
              <w:keepLines w:val="0"/>
              <w:pageBreakBefore w:val="0"/>
              <w:widowControl w:val="0"/>
              <w:kinsoku/>
              <w:wordWrap/>
              <w:overflowPunct w:val="0"/>
              <w:topLinePunct w:val="0"/>
              <w:autoSpaceDE/>
              <w:autoSpaceDN/>
              <w:bidi w:val="0"/>
              <w:adjustRightInd/>
              <w:snapToGrid w:val="0"/>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脏病筛查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宋体" w:hAnsi="宋体" w:eastAsia="宋体" w:cs="宋体"/>
                <w:i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信州区</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3490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4300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3930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3930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广信区</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1770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2180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2000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2000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广丰区</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2490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3060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2800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2800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玉山县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1310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1610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1480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1480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铅山县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755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930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850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850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横峰县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385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470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450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450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弋阳县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805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990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910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910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余干县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2710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3340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3050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3050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鄱阳县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2815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3460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3170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3170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万年县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1290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1590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1460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1460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德兴市</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825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1020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930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930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婺源县</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855</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1050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970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970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default" w:ascii="Times New Roman" w:hAnsi="Times New Roman" w:eastAsia="仿宋_GB2312" w:cs="Times New Roman"/>
                <w:i w:val="0"/>
                <w:color w:val="000000" w:themeColor="text1"/>
                <w:spacing w:val="0"/>
                <w:kern w:val="0"/>
                <w:sz w:val="28"/>
                <w:szCs w:val="28"/>
                <w:u w:val="none"/>
                <w:lang w:val="en-US" w:eastAsia="zh-CN" w:bidi="ar"/>
                <w14:textFill>
                  <w14:solidFill>
                    <w14:schemeClr w14:val="tx1"/>
                  </w14:solidFill>
                </w14:textFill>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color w:val="000000" w:themeColor="text1"/>
                <w:spacing w:val="0"/>
                <w:sz w:val="28"/>
                <w:szCs w:val="28"/>
                <w:u w:val="none"/>
                <w14:textFill>
                  <w14:solidFill>
                    <w14:schemeClr w14:val="tx1"/>
                  </w14:solidFill>
                </w14:textFill>
              </w:rPr>
            </w:pPr>
            <w:r>
              <w:rPr>
                <w:rFonts w:hint="eastAsia" w:ascii="仿宋_GB2312" w:hAnsi="宋体" w:eastAsia="仿宋_GB2312" w:cs="仿宋_GB2312"/>
                <w:i w:val="0"/>
                <w:color w:val="000000" w:themeColor="text1"/>
                <w:spacing w:val="0"/>
                <w:kern w:val="0"/>
                <w:sz w:val="28"/>
                <w:szCs w:val="28"/>
                <w:u w:val="none"/>
                <w:lang w:val="en-US" w:eastAsia="zh-CN" w:bidi="ar"/>
                <w14:textFill>
                  <w14:solidFill>
                    <w14:schemeClr w14:val="tx1"/>
                  </w14:solidFill>
                </w14:textFill>
              </w:rPr>
              <w:t>合  计</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default" w:ascii="仿宋_GB2312" w:hAnsi="宋体" w:eastAsia="仿宋_GB2312" w:cs="仿宋_GB2312"/>
                <w:i w:val="0"/>
                <w:color w:val="000000" w:themeColor="text1"/>
                <w:spacing w:val="0"/>
                <w:sz w:val="28"/>
                <w:szCs w:val="28"/>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u w:val="none"/>
                <w:lang w:val="en-US" w:eastAsia="zh-CN"/>
                <w14:textFill>
                  <w14:solidFill>
                    <w14:schemeClr w14:val="tx1"/>
                  </w14:solidFill>
                </w14:textFill>
              </w:rPr>
              <w:t>19500</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default" w:ascii="仿宋_GB2312" w:hAnsi="宋体" w:eastAsia="仿宋_GB2312" w:cs="仿宋_GB2312"/>
                <w:i w:val="0"/>
                <w:color w:val="000000" w:themeColor="text1"/>
                <w:spacing w:val="0"/>
                <w:sz w:val="28"/>
                <w:szCs w:val="28"/>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u w:val="none"/>
                <w:lang w:val="en-US" w:eastAsia="zh-CN"/>
                <w14:textFill>
                  <w14:solidFill>
                    <w14:schemeClr w14:val="tx1"/>
                  </w14:solidFill>
                </w14:textFill>
              </w:rPr>
              <w:t>24000</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default" w:ascii="仿宋_GB2312" w:hAnsi="宋体" w:eastAsia="仿宋_GB2312" w:cs="仿宋_GB2312"/>
                <w:i w:val="0"/>
                <w:color w:val="000000" w:themeColor="text1"/>
                <w:spacing w:val="0"/>
                <w:sz w:val="28"/>
                <w:szCs w:val="28"/>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u w:val="none"/>
                <w:lang w:val="en-US" w:eastAsia="zh-CN"/>
                <w14:textFill>
                  <w14:solidFill>
                    <w14:schemeClr w14:val="tx1"/>
                  </w14:solidFill>
                </w14:textFill>
              </w:rPr>
              <w:t>22000</w:t>
            </w:r>
          </w:p>
        </w:tc>
        <w:tc>
          <w:tcPr>
            <w:tcW w:w="10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default" w:ascii="仿宋_GB2312" w:hAnsi="宋体" w:eastAsia="仿宋_GB2312" w:cs="仿宋_GB2312"/>
                <w:i w:val="0"/>
                <w:color w:val="000000" w:themeColor="text1"/>
                <w:spacing w:val="0"/>
                <w:sz w:val="28"/>
                <w:szCs w:val="28"/>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u w:val="none"/>
                <w:lang w:val="en-US" w:eastAsia="zh-CN"/>
                <w14:textFill>
                  <w14:solidFill>
                    <w14:schemeClr w14:val="tx1"/>
                  </w14:solidFill>
                </w14:textFill>
              </w:rPr>
              <w:t>22000</w:t>
            </w:r>
          </w:p>
        </w:tc>
        <w:tc>
          <w:tcPr>
            <w:tcW w:w="7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default" w:ascii="仿宋_GB2312" w:hAnsi="宋体" w:eastAsia="仿宋_GB2312" w:cs="仿宋_GB2312"/>
                <w:i w:val="0"/>
                <w:color w:val="000000" w:themeColor="text1"/>
                <w:spacing w:val="0"/>
                <w:sz w:val="28"/>
                <w:szCs w:val="28"/>
                <w:u w:val="none"/>
                <w:lang w:val="en-US" w:eastAsia="zh-CN"/>
                <w14:textFill>
                  <w14:solidFill>
                    <w14:schemeClr w14:val="tx1"/>
                  </w14:solidFill>
                </w14:textFill>
              </w:rPr>
            </w:pPr>
            <w:r>
              <w:rPr>
                <w:rFonts w:hint="default" w:ascii="Times New Roman" w:hAnsi="Times New Roman" w:eastAsia="仿宋_GB2312" w:cs="Times New Roman"/>
                <w:i w:val="0"/>
                <w:color w:val="000000" w:themeColor="text1"/>
                <w:spacing w:val="0"/>
                <w:sz w:val="28"/>
                <w:szCs w:val="28"/>
                <w:u w:val="none"/>
                <w:lang w:val="en-US" w:eastAsia="zh-CN"/>
                <w14:textFill>
                  <w14:solidFill>
                    <w14:schemeClr w14:val="tx1"/>
                  </w14:solidFill>
                </w14:textFill>
              </w:rPr>
              <w:t>14700</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2</w:t>
      </w:r>
    </w:p>
    <w:p>
      <w:pPr>
        <w:keepNext w:val="0"/>
        <w:keepLines w:val="0"/>
        <w:pageBreakBefore w:val="0"/>
        <w:widowControl w:val="0"/>
        <w:numPr>
          <w:ilvl w:val="0"/>
          <w:numId w:val="0"/>
        </w:numPr>
        <w:kinsoku/>
        <w:wordWrap/>
        <w:overflowPunct w:val="0"/>
        <w:topLinePunct w:val="0"/>
        <w:autoSpaceDE/>
        <w:autoSpaceDN/>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全市产前筛查机构名单和资质一览表</w:t>
      </w:r>
    </w:p>
    <w:tbl>
      <w:tblPr>
        <w:tblStyle w:val="9"/>
        <w:tblW w:w="90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28"/>
        <w:gridCol w:w="5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黑体" w:hAnsi="黑体" w:eastAsia="黑体" w:cs="黑体"/>
                <w:b w:val="0"/>
                <w:bCs/>
                <w:i w:val="0"/>
                <w:color w:val="000000" w:themeColor="text1"/>
                <w:spacing w:val="0"/>
                <w:sz w:val="32"/>
                <w:szCs w:val="32"/>
                <w:u w:val="none"/>
                <w14:textFill>
                  <w14:solidFill>
                    <w14:schemeClr w14:val="tx1"/>
                  </w14:solidFill>
                </w14:textFill>
              </w:rPr>
            </w:pPr>
            <w:r>
              <w:rPr>
                <w:rFonts w:hint="eastAsia" w:ascii="黑体" w:hAnsi="黑体" w:eastAsia="黑体" w:cs="黑体"/>
                <w:b w:val="0"/>
                <w:bCs/>
                <w:i w:val="0"/>
                <w:color w:val="000000" w:themeColor="text1"/>
                <w:spacing w:val="0"/>
                <w:kern w:val="0"/>
                <w:sz w:val="32"/>
                <w:szCs w:val="32"/>
                <w:u w:val="none"/>
                <w:lang w:val="en-US" w:eastAsia="zh-CN" w:bidi="ar"/>
                <w14:textFill>
                  <w14:solidFill>
                    <w14:schemeClr w14:val="tx1"/>
                  </w14:solidFill>
                </w14:textFill>
              </w:rPr>
              <w:t>医疗机构名称</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黑体" w:hAnsi="黑体" w:eastAsia="黑体" w:cs="黑体"/>
                <w:b w:val="0"/>
                <w:bCs/>
                <w:i w:val="0"/>
                <w:color w:val="000000" w:themeColor="text1"/>
                <w:spacing w:val="0"/>
                <w:sz w:val="32"/>
                <w:szCs w:val="32"/>
                <w:u w:val="none"/>
                <w14:textFill>
                  <w14:solidFill>
                    <w14:schemeClr w14:val="tx1"/>
                  </w14:solidFill>
                </w14:textFill>
              </w:rPr>
            </w:pPr>
            <w:r>
              <w:rPr>
                <w:rFonts w:hint="eastAsia" w:ascii="黑体" w:hAnsi="黑体" w:eastAsia="黑体" w:cs="黑体"/>
                <w:b w:val="0"/>
                <w:bCs/>
                <w:i w:val="0"/>
                <w:color w:val="000000" w:themeColor="text1"/>
                <w:spacing w:val="0"/>
                <w:kern w:val="0"/>
                <w:sz w:val="32"/>
                <w:szCs w:val="32"/>
                <w:u w:val="none"/>
                <w:lang w:val="en-US" w:eastAsia="zh-CN" w:bidi="ar"/>
                <w14:textFill>
                  <w14:solidFill>
                    <w14:schemeClr w14:val="tx1"/>
                  </w14:solidFill>
                </w14:textFill>
              </w:rPr>
              <w:t>批准项目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上饶市妇幼保健院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遗传咨询、医学影像、实验室血清唐氏筛查、采血、细胞遗传、</w:t>
            </w:r>
            <w:r>
              <w:rPr>
                <w:rFonts w:hint="default" w:ascii="Times New Roman" w:hAnsi="Times New Roman" w:eastAsia="仿宋_GB2312" w:cs="Times New Roman"/>
                <w:color w:val="000000" w:themeColor="text1"/>
                <w:spacing w:val="0"/>
                <w:lang w:val="en-US" w:eastAsia="zh-CN"/>
                <w14:textFill>
                  <w14:solidFill>
                    <w14:schemeClr w14:val="tx1"/>
                  </w14:solidFill>
                </w14:textFill>
              </w:rPr>
              <w:t>21</w:t>
            </w:r>
            <w:r>
              <w:rPr>
                <w:rFonts w:hint="eastAsia" w:ascii="仿宋_GB2312" w:hAnsi="仿宋_GB2312" w:eastAsia="仿宋_GB2312" w:cs="仿宋_GB2312"/>
                <w:color w:val="000000" w:themeColor="text1"/>
                <w:spacing w:val="0"/>
                <w:lang w:val="en-US" w:eastAsia="zh-CN"/>
                <w14:textFill>
                  <w14:solidFill>
                    <w14:schemeClr w14:val="tx1"/>
                  </w14:solidFill>
                </w14:textFill>
              </w:rPr>
              <w:t>三体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上饶市人民医院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上饶市立医院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江西医学高等专科学校第一附属医院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遗传咨询、采血、医学影像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信州区第二人民医院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广信区人民医院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广信区妇幼保健院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广信区名佳医院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遗传咨询、采血、医学影像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广丰区人民医院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广丰区中医院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广丰区妇保院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玉山县妇保院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玉山县人民医院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玉山县中医院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玉山博爱医院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铅山县人民医院</w:t>
            </w:r>
          </w:p>
        </w:tc>
        <w:tc>
          <w:tcPr>
            <w:tcW w:w="5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釆血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铅山县妇保院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铅山广慈医院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遗传咨询、采血、医学影像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横峰县妇幼保健院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横峰县人民医院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弋阳县人民医院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弋阳县中医院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弋阳县妇幼保健院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余干县人民医院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余干县妇保院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鄱阳县妇幼保健院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鄱阳县人民医院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鄱阳县中医院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鄱阳湖医院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鄱阳东湖医院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万年县妇保院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万年县中医院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万年县人民医院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德兴市妇幼保健院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德兴市人民医院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德兴市中医院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婺源县中医院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遗传咨询，采血、实验室血清唐氏筛查、医学影像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婺源县妇保院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婺源县人民医院</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000000" w:themeColor="text1"/>
                <w:spacing w:val="0"/>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lang w:val="en-US" w:eastAsia="zh-CN"/>
                <w14:textFill>
                  <w14:solidFill>
                    <w14:schemeClr w14:val="tx1"/>
                  </w14:solidFill>
                </w14:textFill>
              </w:rPr>
              <w:t>遗传咨询、医学影像、实验室血清唐氏筛查、采血</w:t>
            </w:r>
          </w:p>
        </w:tc>
      </w:tr>
    </w:tbl>
    <w:p>
      <w:pPr>
        <w:keepNext w:val="0"/>
        <w:keepLines w:val="0"/>
        <w:pageBreakBefore w:val="0"/>
        <w:widowControl w:val="0"/>
        <w:suppressLineNumbers w:val="0"/>
        <w:kinsoku/>
        <w:wordWrap/>
        <w:overflowPunct w:val="0"/>
        <w:topLinePunct w:val="0"/>
        <w:autoSpaceDE/>
        <w:autoSpaceDN/>
        <w:bidi w:val="0"/>
        <w:jc w:val="both"/>
        <w:textAlignment w:val="center"/>
        <w:rPr>
          <w:rFonts w:hint="eastAsia" w:ascii="仿宋_GB2312" w:hAnsi="宋体" w:eastAsia="仿宋_GB2312" w:cs="仿宋_GB2312"/>
          <w:b/>
          <w:i w:val="0"/>
          <w:color w:val="000000" w:themeColor="text1"/>
          <w:spacing w:val="0"/>
          <w:kern w:val="0"/>
          <w:sz w:val="24"/>
          <w:szCs w:val="24"/>
          <w:u w:val="none"/>
          <w:lang w:val="en-US" w:eastAsia="zh-CN" w:bidi="ar"/>
          <w14:textFill>
            <w14:solidFill>
              <w14:schemeClr w14:val="tx1"/>
            </w14:solidFill>
          </w14:textFill>
        </w:rPr>
        <w:sectPr>
          <w:pgSz w:w="11906" w:h="16838"/>
          <w:pgMar w:top="1701" w:right="1474" w:bottom="1587" w:left="1587" w:header="851" w:footer="1304" w:gutter="0"/>
          <w:pgNumType w:fmt="decimal"/>
          <w:cols w:space="0" w:num="1"/>
          <w:rtlGutter w:val="0"/>
          <w:docGrid w:type="lines" w:linePitch="312" w:charSpace="0"/>
        </w:sectPr>
      </w:pPr>
    </w:p>
    <w:p>
      <w:pPr>
        <w:keepNext w:val="0"/>
        <w:keepLines w:val="0"/>
        <w:pageBreakBefore w:val="0"/>
        <w:widowControl w:val="0"/>
        <w:suppressLineNumbers w:val="0"/>
        <w:kinsoku/>
        <w:wordWrap/>
        <w:overflowPunct w:val="0"/>
        <w:topLinePunct w:val="0"/>
        <w:autoSpaceDE/>
        <w:autoSpaceDN/>
        <w:bidi w:val="0"/>
        <w:jc w:val="both"/>
        <w:textAlignment w:val="center"/>
        <w:rPr>
          <w:rFonts w:hint="default" w:ascii="仿宋_GB2312" w:hAnsi="宋体" w:eastAsia="仿宋_GB2312" w:cs="仿宋_GB2312"/>
          <w:b/>
          <w:i w:val="0"/>
          <w:color w:val="000000" w:themeColor="text1"/>
          <w:spacing w:val="0"/>
          <w:kern w:val="0"/>
          <w:sz w:val="24"/>
          <w:szCs w:val="24"/>
          <w:u w:val="none"/>
          <w:lang w:val="en-US" w:eastAsia="zh-CN" w:bidi="ar"/>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3</w:t>
      </w:r>
    </w:p>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方正小标宋简体" w:hAnsi="方正小标宋简体" w:eastAsia="方正小标宋简体" w:cs="方正小标宋简体"/>
          <w:b w:val="0"/>
          <w:bCs/>
          <w:i w:val="0"/>
          <w:color w:val="000000" w:themeColor="text1"/>
          <w:spacing w:val="0"/>
          <w:kern w:val="0"/>
          <w:sz w:val="40"/>
          <w:szCs w:val="40"/>
          <w:u w:val="none"/>
          <w:lang w:val="en-US" w:eastAsia="zh-CN" w:bidi="ar"/>
          <w14:textFill>
            <w14:solidFill>
              <w14:schemeClr w14:val="tx1"/>
            </w14:solidFill>
          </w14:textFill>
        </w:rPr>
      </w:pPr>
      <w:r>
        <w:rPr>
          <w:rFonts w:hint="default" w:ascii="Times New Roman" w:hAnsi="Times New Roman" w:eastAsia="方正小标宋简体" w:cs="Times New Roman"/>
          <w:b w:val="0"/>
          <w:bCs/>
          <w:i w:val="0"/>
          <w:color w:val="000000" w:themeColor="text1"/>
          <w:spacing w:val="0"/>
          <w:kern w:val="0"/>
          <w:sz w:val="40"/>
          <w:szCs w:val="40"/>
          <w:u w:val="none"/>
          <w:lang w:val="en-US" w:eastAsia="zh-CN" w:bidi="ar"/>
          <w14:textFill>
            <w14:solidFill>
              <w14:schemeClr w14:val="tx1"/>
            </w14:solidFill>
          </w14:textFill>
        </w:rPr>
        <w:t>2023</w:t>
      </w:r>
      <w:r>
        <w:rPr>
          <w:rFonts w:hint="eastAsia" w:ascii="方正小标宋简体" w:hAnsi="方正小标宋简体" w:eastAsia="方正小标宋简体" w:cs="方正小标宋简体"/>
          <w:b w:val="0"/>
          <w:bCs/>
          <w:i w:val="0"/>
          <w:color w:val="000000" w:themeColor="text1"/>
          <w:spacing w:val="0"/>
          <w:kern w:val="0"/>
          <w:sz w:val="40"/>
          <w:szCs w:val="40"/>
          <w:u w:val="none"/>
          <w:lang w:val="en-US" w:eastAsia="zh-CN" w:bidi="ar"/>
          <w14:textFill>
            <w14:solidFill>
              <w14:schemeClr w14:val="tx1"/>
            </w14:solidFill>
          </w14:textFill>
        </w:rPr>
        <w:t>年民生实事“免费提供出生缺陷防控服务”市级定点服务机构汇总表</w:t>
      </w:r>
    </w:p>
    <w:p>
      <w:pPr>
        <w:keepNext w:val="0"/>
        <w:keepLines w:val="0"/>
        <w:pageBreakBefore w:val="0"/>
        <w:widowControl w:val="0"/>
        <w:kinsoku/>
        <w:wordWrap/>
        <w:overflowPunct w:val="0"/>
        <w:topLinePunct w:val="0"/>
        <w:autoSpaceDE/>
        <w:autoSpaceDN/>
        <w:bidi w:val="0"/>
        <w:rPr>
          <w:rFonts w:hint="eastAsia"/>
          <w:color w:val="000000" w:themeColor="text1"/>
          <w:spacing w:val="0"/>
          <w:lang w:val="en-US" w:eastAsia="zh-CN"/>
          <w14:textFill>
            <w14:solidFill>
              <w14:schemeClr w14:val="tx1"/>
            </w14:solidFill>
          </w14:textFill>
        </w:rPr>
      </w:pPr>
    </w:p>
    <w:tbl>
      <w:tblPr>
        <w:tblStyle w:val="9"/>
        <w:tblW w:w="14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7"/>
        <w:gridCol w:w="1611"/>
        <w:gridCol w:w="1539"/>
        <w:gridCol w:w="1362"/>
        <w:gridCol w:w="1107"/>
        <w:gridCol w:w="1377"/>
        <w:gridCol w:w="1034"/>
        <w:gridCol w:w="1049"/>
        <w:gridCol w:w="1310"/>
        <w:gridCol w:w="1570"/>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6" w:hRule="atLeast"/>
          <w:jc w:val="center"/>
        </w:trPr>
        <w:tc>
          <w:tcPr>
            <w:tcW w:w="1442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定点服务机构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24"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项目</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胎儿颈部透明带检查（</w:t>
            </w:r>
            <w:r>
              <w:rPr>
                <w:rFonts w:hint="default" w:ascii="Times New Roman" w:hAnsi="Times New Roman" w:eastAsia="仿宋_GB2312" w:cs="Times New Roman"/>
                <w:i w:val="0"/>
                <w:iCs w:val="0"/>
                <w:color w:val="000000" w:themeColor="text1"/>
                <w:spacing w:val="0"/>
                <w:kern w:val="0"/>
                <w:sz w:val="24"/>
                <w:szCs w:val="24"/>
                <w:u w:val="none"/>
                <w:lang w:val="en-US" w:eastAsia="zh-CN" w:bidi="ar"/>
                <w14:textFill>
                  <w14:solidFill>
                    <w14:schemeClr w14:val="tx1"/>
                  </w14:solidFill>
                </w14:textFill>
              </w:rPr>
              <w:t>NT</w:t>
            </w: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检查）</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胎儿六大畸形超声常规检查</w:t>
            </w:r>
          </w:p>
        </w:tc>
        <w:tc>
          <w:tcPr>
            <w:tcW w:w="24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产前血清学筛查</w:t>
            </w:r>
          </w:p>
        </w:tc>
        <w:tc>
          <w:tcPr>
            <w:tcW w:w="241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地中海贫血基因检测</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left"/>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新生儿遗传代谢病筛查</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left"/>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遗传性耳聋基因检测</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听力筛查</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先天性心脏病筛查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筛查机构</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筛查机构</w:t>
            </w: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采血机构</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检测机构</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采血机构</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检测机构</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检测机构</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检测机构</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筛查机构</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筛查机构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6"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定点服务机构</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0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86"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63"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江西医学高等专科学校第一附属医院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26"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上饶东信五院</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上饶东信五院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jc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上饶曙光医院</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宋体" w:eastAsia="仿宋_GB2312" w:cs="仿宋_GB2312"/>
                <w:i w:val="0"/>
                <w:iCs w:val="0"/>
                <w:color w:val="000000" w:themeColor="text1"/>
                <w:spacing w:val="0"/>
                <w:sz w:val="24"/>
                <w:szCs w:val="24"/>
                <w:u w:val="none"/>
                <w14:textFill>
                  <w14:solidFill>
                    <w14:schemeClr w14:val="tx1"/>
                  </w14:solidFill>
                </w14:textFill>
              </w:rPr>
            </w:pPr>
            <w:r>
              <w:rPr>
                <w:rFonts w:hint="eastAsia" w:ascii="仿宋_GB2312" w:hAnsi="宋体" w:eastAsia="仿宋_GB2312" w:cs="仿宋_GB2312"/>
                <w:i w:val="0"/>
                <w:iCs w:val="0"/>
                <w:color w:val="000000" w:themeColor="text1"/>
                <w:spacing w:val="0"/>
                <w:kern w:val="0"/>
                <w:sz w:val="24"/>
                <w:szCs w:val="24"/>
                <w:u w:val="none"/>
                <w:lang w:val="en-US" w:eastAsia="zh-CN" w:bidi="ar"/>
                <w14:textFill>
                  <w14:solidFill>
                    <w14:schemeClr w14:val="tx1"/>
                  </w14:solidFill>
                </w14:textFill>
              </w:rPr>
              <w:t>上饶曙光医院</w:t>
            </w:r>
          </w:p>
        </w:tc>
      </w:tr>
    </w:tbl>
    <w:p>
      <w:pPr>
        <w:keepNext w:val="0"/>
        <w:keepLines w:val="0"/>
        <w:pageBreakBefore w:val="0"/>
        <w:widowControl w:val="0"/>
        <w:kinsoku/>
        <w:wordWrap/>
        <w:overflowPunct w:val="0"/>
        <w:topLinePunct w:val="0"/>
        <w:autoSpaceDE/>
        <w:autoSpaceDN/>
        <w:bidi w:val="0"/>
        <w:rPr>
          <w:rFonts w:hint="default"/>
          <w:color w:val="000000" w:themeColor="text1"/>
          <w:spacing w:val="0"/>
          <w:lang w:val="en-US" w:eastAsia="zh-CN"/>
          <w14:textFill>
            <w14:solidFill>
              <w14:schemeClr w14:val="tx1"/>
            </w14:solidFill>
          </w14:textFill>
        </w:rPr>
        <w:sectPr>
          <w:pgSz w:w="16838" w:h="11906" w:orient="landscape"/>
          <w:pgMar w:top="1587" w:right="1361" w:bottom="1474" w:left="1361" w:header="851" w:footer="1304" w:gutter="0"/>
          <w:pgNumType w:fmt="decimal"/>
          <w:cols w:space="0" w:num="1"/>
          <w:rtlGutter w:val="0"/>
          <w:docGrid w:type="lines" w:linePitch="315" w:charSpace="0"/>
        </w:sectPr>
      </w:pPr>
      <w:r>
        <w:rPr>
          <w:rFonts w:hint="default"/>
          <w:color w:val="000000" w:themeColor="text1"/>
          <w:spacing w:val="0"/>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spacing w:line="580" w:lineRule="exact"/>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9</w:t>
      </w:r>
    </w:p>
    <w:p>
      <w:pPr>
        <w:keepNext w:val="0"/>
        <w:keepLines w:val="0"/>
        <w:pageBreakBefore w:val="0"/>
        <w:widowControl w:val="0"/>
        <w:kinsoku/>
        <w:wordWrap/>
        <w:overflowPunct w:val="0"/>
        <w:topLinePunct w:val="0"/>
        <w:autoSpaceDE/>
        <w:autoSpaceDN/>
        <w:bidi w:val="0"/>
        <w:spacing w:line="580" w:lineRule="exact"/>
        <w:jc w:val="center"/>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关于“开展基层人工智能辅助智慧医疗</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14:textFill>
            <w14:solidFill>
              <w14:schemeClr w14:val="tx1"/>
            </w14:solidFill>
          </w14:textFill>
        </w:rPr>
        <w:t>系统建设”的实施方案</w:t>
      </w:r>
    </w:p>
    <w:p>
      <w:pPr>
        <w:keepNext w:val="0"/>
        <w:keepLines w:val="0"/>
        <w:pageBreakBefore w:val="0"/>
        <w:widowControl w:val="0"/>
        <w:kinsoku/>
        <w:wordWrap/>
        <w:overflowPunct w:val="0"/>
        <w:topLinePunct w:val="0"/>
        <w:autoSpaceDE/>
        <w:autoSpaceDN/>
        <w:bidi w:val="0"/>
        <w:spacing w:line="580" w:lineRule="exact"/>
        <w:textAlignment w:val="auto"/>
        <w:rPr>
          <w:rFonts w:hint="eastAsia" w:ascii="仿宋" w:hAnsi="仿宋" w:eastAsia="仿宋_GB2312" w:cs="仿宋"/>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开展基层人工智能辅助智慧医疗系统建设</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一</w:t>
      </w:r>
      <w:r>
        <w:rPr>
          <w:rFonts w:hint="eastAsia" w:ascii="黑体" w:hAnsi="黑体" w:eastAsia="黑体" w:cs="黑体"/>
          <w:b w:val="0"/>
          <w:bCs w:val="0"/>
          <w:color w:val="000000" w:themeColor="text1"/>
          <w:spacing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0"/>
          <w:sz w:val="32"/>
          <w:szCs w:val="32"/>
          <w14:textFill>
            <w14:solidFill>
              <w14:schemeClr w14:val="tx1"/>
            </w14:solidFill>
          </w14:textFill>
        </w:rPr>
        <w:t>建设目标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试点乡村两级（含社区卫生服务中心、服务站，下同）医疗卫生机构安装配备人工智能辅助智慧医疗系统。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二</w:t>
      </w:r>
      <w:r>
        <w:rPr>
          <w:rFonts w:hint="eastAsia" w:ascii="黑体" w:hAnsi="黑体" w:eastAsia="黑体" w:cs="黑体"/>
          <w:b w:val="0"/>
          <w:bCs w:val="0"/>
          <w:color w:val="000000" w:themeColor="text1"/>
          <w:spacing w:val="0"/>
          <w:sz w:val="32"/>
          <w:szCs w:val="32"/>
          <w:lang w:eastAsia="zh-CN"/>
          <w14:textFill>
            <w14:solidFill>
              <w14:schemeClr w14:val="tx1"/>
            </w14:solidFill>
          </w14:textFill>
        </w:rPr>
        <w:t>、</w:t>
      </w:r>
      <w:r>
        <w:rPr>
          <w:rFonts w:hint="eastAsia" w:ascii="黑体" w:hAnsi="黑体" w:eastAsia="黑体" w:cs="黑体"/>
          <w:b w:val="0"/>
          <w:bCs w:val="0"/>
          <w:color w:val="000000" w:themeColor="text1"/>
          <w:spacing w:val="0"/>
          <w:sz w:val="32"/>
          <w:szCs w:val="32"/>
          <w14:textFill>
            <w14:solidFill>
              <w14:schemeClr w14:val="tx1"/>
            </w14:solidFill>
          </w14:textFill>
        </w:rPr>
        <w:t>建设内容</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1</w:t>
      </w:r>
      <w:r>
        <w:rPr>
          <w:rFonts w:hint="eastAsia" w:ascii="仿宋" w:hAnsi="仿宋" w:eastAsia="仿宋_GB2312" w:cs="仿宋"/>
          <w:color w:val="000000" w:themeColor="text1"/>
          <w:spacing w:val="0"/>
          <w:sz w:val="32"/>
          <w:szCs w:val="32"/>
          <w14:textFill>
            <w14:solidFill>
              <w14:schemeClr w14:val="tx1"/>
            </w14:solidFill>
          </w14:textFill>
        </w:rPr>
        <w:t>.建设基层智能辅助诊疗系统，为医生在诊疗各环节提供辅助提示，鼓励村卫生室依托系统开展辅助诊断应用</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2</w:t>
      </w:r>
      <w:r>
        <w:rPr>
          <w:rFonts w:hint="eastAsia" w:ascii="仿宋" w:hAnsi="仿宋" w:eastAsia="仿宋_GB2312" w:cs="仿宋"/>
          <w:color w:val="000000" w:themeColor="text1"/>
          <w:spacing w:val="0"/>
          <w:sz w:val="32"/>
          <w:szCs w:val="32"/>
          <w14:textFill>
            <w14:solidFill>
              <w14:schemeClr w14:val="tx1"/>
            </w14:solidFill>
          </w14:textFill>
        </w:rPr>
        <w:t>.建设基层公卫智能随访系统，利用智能语音外呼</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提升基本公共卫生随访效率</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3</w:t>
      </w:r>
      <w:r>
        <w:rPr>
          <w:rFonts w:hint="eastAsia" w:ascii="仿宋" w:hAnsi="仿宋" w:eastAsia="仿宋_GB2312" w:cs="仿宋"/>
          <w:color w:val="000000" w:themeColor="text1"/>
          <w:spacing w:val="0"/>
          <w:sz w:val="32"/>
          <w:szCs w:val="32"/>
          <w14:textFill>
            <w14:solidFill>
              <w14:schemeClr w14:val="tx1"/>
            </w14:solidFill>
          </w14:textFill>
        </w:rPr>
        <w:t>.建设基层远程医疗系统，提升业务协同效率和基层诊断能力</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4</w:t>
      </w:r>
      <w:r>
        <w:rPr>
          <w:rFonts w:hint="eastAsia" w:ascii="仿宋" w:hAnsi="仿宋" w:eastAsia="仿宋_GB2312" w:cs="仿宋"/>
          <w:color w:val="000000" w:themeColor="text1"/>
          <w:spacing w:val="0"/>
          <w:sz w:val="32"/>
          <w:szCs w:val="32"/>
          <w14:textFill>
            <w14:solidFill>
              <w14:schemeClr w14:val="tx1"/>
            </w14:solidFill>
          </w14:textFill>
        </w:rPr>
        <w:t>.建设基层运行监管系统</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实现相关监管部门实时查阅辖区基层医疗卫生机构应用情况，提升基层诊疗</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药品购置等服务智慧管理水平</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三、实施步骤</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.第一阶段（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5</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7</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lang w:val="en-US" w:eastAsia="zh-CN"/>
          <w14:textFill>
            <w14:solidFill>
              <w14:schemeClr w14:val="tx1"/>
            </w14:solidFill>
          </w14:textFill>
        </w:rPr>
        <w:t>根据《江西省基层人工智能辅助智慧医疗系统（暨江西省智慧医疗服务体系一期工程）建设方案》，卫健部门做好前期摸底准备工作。</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.第二阶段（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7</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lang w:val="en-US" w:eastAsia="zh-CN"/>
          <w14:textFill>
            <w14:solidFill>
              <w14:schemeClr w14:val="tx1"/>
            </w14:solidFill>
          </w14:textFill>
        </w:rPr>
        <w:t>积极对接省里确定的试点县区建设开展情况，及时启动前期建设工作。</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.第三阶段（</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2024</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年</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6</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lang w:val="en-US" w:eastAsia="zh-CN"/>
          <w14:textFill>
            <w14:solidFill>
              <w14:schemeClr w14:val="tx1"/>
            </w14:solidFill>
          </w14:textFill>
        </w:rPr>
        <w:t>完成基层一体化业务系统及基层智能辅助医疗系统建设、实施培训、推广工作，同步规划建设智慧医疗服务体系后期工作。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lang w:eastAsia="zh-CN"/>
          <w14:textFill>
            <w14:solidFill>
              <w14:schemeClr w14:val="tx1"/>
            </w14:solidFill>
          </w14:textFill>
        </w:rPr>
        <w:t>四、</w:t>
      </w:r>
      <w:r>
        <w:rPr>
          <w:rFonts w:hint="eastAsia" w:ascii="黑体" w:hAnsi="黑体" w:eastAsia="黑体" w:cs="黑体"/>
          <w:b w:val="0"/>
          <w:bCs w:val="0"/>
          <w:color w:val="000000" w:themeColor="text1"/>
          <w:spacing w:val="0"/>
          <w:sz w:val="32"/>
          <w:szCs w:val="32"/>
          <w14:textFill>
            <w14:solidFill>
              <w14:schemeClr w14:val="tx1"/>
            </w14:solidFill>
          </w14:textFill>
        </w:rPr>
        <w:t>资金安排</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eastAsia" w:ascii="仿宋" w:hAnsi="仿宋" w:eastAsia="仿宋_GB2312" w:cs="仿宋"/>
          <w:color w:val="000000" w:themeColor="text1"/>
          <w:spacing w:val="0"/>
          <w:sz w:val="32"/>
          <w:szCs w:val="32"/>
          <w:lang w:val="en-US" w:eastAsia="zh-CN"/>
          <w14:textFill>
            <w14:solidFill>
              <w14:schemeClr w14:val="tx1"/>
            </w14:solidFill>
          </w14:textFill>
        </w:rPr>
        <w:t>市县两级负责辖区域内乡村两级人工智能辅助智慧医疗相关应用子系统及相关配套设施建设，省财政安排资金予以适当补助。</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spacing w:val="0"/>
          <w:sz w:val="32"/>
          <w:szCs w:val="32"/>
          <w:lang w:eastAsia="zh-CN"/>
          <w14:textFill>
            <w14:solidFill>
              <w14:schemeClr w14:val="tx1"/>
            </w14:solidFill>
          </w14:textFill>
        </w:rPr>
      </w:pPr>
      <w:r>
        <w:rPr>
          <w:rFonts w:hint="eastAsia" w:ascii="黑体" w:hAnsi="黑体" w:eastAsia="黑体" w:cs="黑体"/>
          <w:b w:val="0"/>
          <w:bCs w:val="0"/>
          <w:color w:val="000000" w:themeColor="text1"/>
          <w:spacing w:val="0"/>
          <w:sz w:val="32"/>
          <w:szCs w:val="32"/>
          <w:lang w:eastAsia="zh-CN"/>
          <w14:textFill>
            <w14:solidFill>
              <w14:schemeClr w14:val="tx1"/>
            </w14:solidFill>
          </w14:textFill>
        </w:rPr>
        <w:t>五、责任主体</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14:textFill>
            <w14:solidFill>
              <w14:schemeClr w14:val="tx1"/>
            </w14:solidFill>
          </w14:textFill>
        </w:rPr>
      </w:pPr>
      <w:r>
        <w:rPr>
          <w:rFonts w:hint="eastAsia" w:ascii="仿宋" w:hAnsi="仿宋" w:eastAsia="仿宋_GB2312" w:cs="仿宋"/>
          <w:color w:val="000000" w:themeColor="text1"/>
          <w:spacing w:val="0"/>
          <w:sz w:val="32"/>
          <w:szCs w:val="32"/>
          <w:lang w:eastAsia="zh-CN"/>
          <w14:textFill>
            <w14:solidFill>
              <w14:schemeClr w14:val="tx1"/>
            </w14:solidFill>
          </w14:textFill>
        </w:rPr>
        <w:t>市</w:t>
      </w:r>
      <w:r>
        <w:rPr>
          <w:rFonts w:hint="eastAsia" w:ascii="仿宋" w:hAnsi="仿宋" w:eastAsia="仿宋_GB2312" w:cs="仿宋"/>
          <w:color w:val="000000" w:themeColor="text1"/>
          <w:spacing w:val="0"/>
          <w:sz w:val="32"/>
          <w:szCs w:val="32"/>
          <w14:textFill>
            <w14:solidFill>
              <w14:schemeClr w14:val="tx1"/>
            </w14:solidFill>
          </w14:textFill>
        </w:rPr>
        <w:t>发改委负责协调相关部门共同推进全市人工智能辅助智慧医疗系统建设</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市卫健委</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市医保局</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市市管局负责指导协调和督促主管行业领域的相关工作</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市财政局负责资金保障</w:t>
      </w:r>
      <w:r>
        <w:rPr>
          <w:rFonts w:hint="eastAsia" w:ascii="仿宋" w:hAnsi="仿宋" w:eastAsia="仿宋_GB2312" w:cs="仿宋"/>
          <w:color w:val="000000" w:themeColor="text1"/>
          <w:spacing w:val="0"/>
          <w:sz w:val="32"/>
          <w:szCs w:val="32"/>
          <w:lang w:eastAsia="zh-CN"/>
          <w14:textFill>
            <w14:solidFill>
              <w14:schemeClr w14:val="tx1"/>
            </w14:solidFill>
          </w14:textFill>
        </w:rPr>
        <w:t>；市</w:t>
      </w:r>
      <w:r>
        <w:rPr>
          <w:rFonts w:hint="eastAsia" w:ascii="仿宋" w:hAnsi="仿宋" w:eastAsia="仿宋_GB2312" w:cs="仿宋"/>
          <w:color w:val="000000" w:themeColor="text1"/>
          <w:spacing w:val="0"/>
          <w:sz w:val="32"/>
          <w:szCs w:val="32"/>
          <w14:textFill>
            <w14:solidFill>
              <w14:schemeClr w14:val="tx1"/>
            </w14:solidFill>
          </w14:textFill>
        </w:rPr>
        <w:t>大数据管理局负责项目实施工作。各地负责落实属地责任，建立健全相应的领导体系和工作协调机制。</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（一）部门责任领导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市发改委副主任</w:t>
      </w:r>
      <w:r>
        <w:rPr>
          <w:rFonts w:hint="eastAsia" w:ascii="仿宋" w:hAnsi="仿宋" w:eastAsia="仿宋_GB2312"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_GB2312" w:cs="仿宋"/>
          <w:color w:val="000000" w:themeColor="text1"/>
          <w:spacing w:val="0"/>
          <w:sz w:val="32"/>
          <w:szCs w:val="32"/>
          <w:lang w:eastAsia="zh-CN"/>
          <w14:textFill>
            <w14:solidFill>
              <w14:schemeClr w14:val="tx1"/>
            </w14:solidFill>
          </w14:textFill>
        </w:rPr>
        <w:t>韩松水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市卫健委副主任</w:t>
      </w:r>
      <w:r>
        <w:rPr>
          <w:rFonts w:hint="eastAsia" w:ascii="仿宋" w:hAnsi="仿宋" w:eastAsia="仿宋_GB2312"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_GB2312" w:cs="仿宋"/>
          <w:color w:val="000000" w:themeColor="text1"/>
          <w:spacing w:val="0"/>
          <w:sz w:val="32"/>
          <w:szCs w:val="32"/>
          <w:lang w:eastAsia="zh-CN"/>
          <w14:textFill>
            <w14:solidFill>
              <w14:schemeClr w14:val="tx1"/>
            </w14:solidFill>
          </w14:textFill>
        </w:rPr>
        <w:t>赵国梁</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市医保局副局长</w:t>
      </w:r>
      <w:r>
        <w:rPr>
          <w:rFonts w:hint="eastAsia" w:ascii="仿宋" w:hAnsi="仿宋" w:eastAsia="仿宋_GB2312"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_GB2312" w:cs="仿宋"/>
          <w:color w:val="000000" w:themeColor="text1"/>
          <w:spacing w:val="0"/>
          <w:sz w:val="32"/>
          <w:szCs w:val="32"/>
          <w:lang w:eastAsia="zh-CN"/>
          <w14:textFill>
            <w14:solidFill>
              <w14:schemeClr w14:val="tx1"/>
            </w14:solidFill>
          </w14:textFill>
        </w:rPr>
        <w:t>翁小兵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市市管局</w:t>
      </w:r>
      <w:r>
        <w:rPr>
          <w:rFonts w:hint="eastAsia" w:ascii="仿宋" w:hAnsi="仿宋" w:eastAsia="仿宋_GB2312" w:cs="仿宋"/>
          <w:color w:val="000000" w:themeColor="text1"/>
          <w:spacing w:val="0"/>
          <w:sz w:val="32"/>
          <w:szCs w:val="32"/>
          <w:lang w:eastAsia="zh-CN"/>
          <w14:textFill>
            <w14:solidFill>
              <w14:schemeClr w14:val="tx1"/>
            </w14:solidFill>
          </w14:textFill>
        </w:rPr>
        <w:t>党组成员</w:t>
      </w:r>
      <w:r>
        <w:rPr>
          <w:rFonts w:hint="eastAsia" w:ascii="仿宋" w:hAnsi="仿宋" w:eastAsia="仿宋_GB2312"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_GB2312" w:cs="仿宋"/>
          <w:color w:val="000000" w:themeColor="text1"/>
          <w:spacing w:val="0"/>
          <w:sz w:val="32"/>
          <w:szCs w:val="32"/>
          <w:lang w:eastAsia="zh-CN"/>
          <w14:textFill>
            <w14:solidFill>
              <w14:schemeClr w14:val="tx1"/>
            </w14:solidFill>
          </w14:textFill>
        </w:rPr>
        <w:t>周</w:t>
      </w:r>
      <w:r>
        <w:rPr>
          <w:rFonts w:hint="eastAsia" w:ascii="仿宋" w:hAnsi="仿宋" w:eastAsia="仿宋_GB2312"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_GB2312" w:cs="仿宋"/>
          <w:color w:val="000000" w:themeColor="text1"/>
          <w:spacing w:val="0"/>
          <w:sz w:val="32"/>
          <w:szCs w:val="32"/>
          <w:lang w:eastAsia="zh-CN"/>
          <w14:textFill>
            <w14:solidFill>
              <w14:schemeClr w14:val="tx1"/>
            </w14:solidFill>
          </w14:textFill>
        </w:rPr>
        <w:t>平</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（二）牵头单位责任科室</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市发改委社会科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责任人</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夏虹剑，经办人及</w:t>
      </w:r>
      <w:r>
        <w:rPr>
          <w:rFonts w:hint="eastAsia" w:ascii="仿宋" w:hAnsi="仿宋" w:eastAsia="仿宋_GB2312" w:cs="仿宋"/>
          <w:color w:val="000000" w:themeColor="text1"/>
          <w:spacing w:val="0"/>
          <w:sz w:val="32"/>
          <w:szCs w:val="32"/>
          <w:lang w:val="en-US" w:eastAsia="zh-CN"/>
          <w14:textFill>
            <w14:solidFill>
              <w14:schemeClr w14:val="tx1"/>
            </w14:solidFill>
          </w14:textFill>
        </w:rPr>
        <w:t>办公</w:t>
      </w:r>
      <w:r>
        <w:rPr>
          <w:rFonts w:hint="eastAsia" w:ascii="仿宋" w:hAnsi="仿宋" w:eastAsia="仿宋_GB2312" w:cs="仿宋"/>
          <w:color w:val="000000" w:themeColor="text1"/>
          <w:spacing w:val="0"/>
          <w:sz w:val="32"/>
          <w:szCs w:val="32"/>
          <w14:textFill>
            <w14:solidFill>
              <w14:schemeClr w14:val="tx1"/>
            </w14:solidFill>
          </w14:textFill>
        </w:rPr>
        <w:t>电话</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敖维丽</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8296529</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（三）配合单位责任科室</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firstLine="640" w:firstLineChars="200"/>
        <w:jc w:val="left"/>
        <w:textAlignment w:val="auto"/>
        <w:rPr>
          <w:rFonts w:hint="default" w:ascii="仿宋" w:hAnsi="仿宋" w:eastAsia="仿宋_GB2312" w:cs="仿宋"/>
          <w:color w:val="000000" w:themeColor="text1"/>
          <w:spacing w:val="0"/>
          <w:sz w:val="32"/>
          <w:szCs w:val="32"/>
          <w:lang w:val="en-US"/>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市财政局经建科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责任人及办公电话：王晓文，</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8683183</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市财政局社保科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责任人及办公电话：祁如金，</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8683175</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市卫健委规划信息科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责任人及办公电话：陈善胜，</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8177330</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市卫健委基层健康科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责任人及办公电话：魏强华，</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8177127</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市医保局药品招标采购科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责任人及办公电话：林斌，</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8050821</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仿宋" w:hAnsi="仿宋" w:eastAsia="仿宋_GB2312" w:cs="仿宋"/>
          <w:color w:val="000000" w:themeColor="text1"/>
          <w:spacing w:val="0"/>
          <w:sz w:val="32"/>
          <w:szCs w:val="32"/>
          <w:lang w:val="en-US" w:eastAsia="zh-CN"/>
          <w14:textFill>
            <w14:solidFill>
              <w14:schemeClr w14:val="tx1"/>
            </w14:solidFill>
          </w14:textFill>
        </w:rPr>
      </w:pPr>
      <w:r>
        <w:rPr>
          <w:rFonts w:hint="eastAsia" w:ascii="仿宋" w:hAnsi="仿宋" w:eastAsia="仿宋_GB2312" w:cs="仿宋"/>
          <w:color w:val="000000" w:themeColor="text1"/>
          <w:spacing w:val="0"/>
          <w:sz w:val="32"/>
          <w:szCs w:val="32"/>
          <w14:textFill>
            <w14:solidFill>
              <w14:schemeClr w14:val="tx1"/>
            </w14:solidFill>
          </w14:textFill>
        </w:rPr>
        <w:t>市市管局</w:t>
      </w:r>
      <w:r>
        <w:rPr>
          <w:rFonts w:hint="eastAsia" w:ascii="仿宋" w:hAnsi="仿宋" w:eastAsia="仿宋_GB2312" w:cs="仿宋"/>
          <w:color w:val="000000" w:themeColor="text1"/>
          <w:spacing w:val="0"/>
          <w:sz w:val="32"/>
          <w:szCs w:val="32"/>
          <w:lang w:eastAsia="zh-CN"/>
          <w14:textFill>
            <w14:solidFill>
              <w14:schemeClr w14:val="tx1"/>
            </w14:solidFill>
          </w14:textFill>
        </w:rPr>
        <w:t>药品监督</w:t>
      </w:r>
      <w:r>
        <w:rPr>
          <w:rFonts w:hint="eastAsia" w:ascii="仿宋" w:hAnsi="仿宋" w:eastAsia="仿宋_GB2312" w:cs="仿宋"/>
          <w:color w:val="000000" w:themeColor="text1"/>
          <w:spacing w:val="0"/>
          <w:sz w:val="32"/>
          <w:szCs w:val="32"/>
          <w14:textFill>
            <w14:solidFill>
              <w14:schemeClr w14:val="tx1"/>
            </w14:solidFill>
          </w14:textFill>
        </w:rPr>
        <w:t>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lang w:val="en-US" w:eastAsia="zh-CN"/>
          <w14:textFill>
            <w14:solidFill>
              <w14:schemeClr w14:val="tx1"/>
            </w14:solidFill>
          </w14:textFill>
        </w:rPr>
        <w:t>责任人及办公电话：黄宗涛，</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0793</w:t>
      </w:r>
      <w:r>
        <w:rPr>
          <w:rFonts w:hint="eastAsia" w:ascii="仿宋" w:hAnsi="仿宋" w:eastAsia="仿宋_GB2312" w:cs="仿宋"/>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8267590</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spacing w:val="0"/>
          <w:sz w:val="32"/>
          <w:szCs w:val="32"/>
          <w:lang w:eastAsia="zh-CN"/>
          <w14:textFill>
            <w14:solidFill>
              <w14:schemeClr w14:val="tx1"/>
            </w14:solidFill>
          </w14:textFill>
        </w:rPr>
      </w:pPr>
      <w:r>
        <w:rPr>
          <w:rFonts w:hint="eastAsia" w:ascii="黑体" w:hAnsi="黑体" w:eastAsia="黑体" w:cs="黑体"/>
          <w:b w:val="0"/>
          <w:bCs w:val="0"/>
          <w:color w:val="000000" w:themeColor="text1"/>
          <w:spacing w:val="0"/>
          <w:sz w:val="32"/>
          <w:szCs w:val="32"/>
          <w:lang w:eastAsia="zh-CN"/>
          <w14:textFill>
            <w14:solidFill>
              <w14:schemeClr w14:val="tx1"/>
            </w14:solidFill>
          </w14:textFill>
        </w:rPr>
        <w:t>六、保障措施</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1</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.加强组织领导。</w:t>
      </w:r>
      <w:r>
        <w:rPr>
          <w:rFonts w:hint="eastAsia" w:ascii="仿宋" w:hAnsi="仿宋" w:eastAsia="仿宋_GB2312" w:cs="仿宋"/>
          <w:color w:val="000000" w:themeColor="text1"/>
          <w:spacing w:val="0"/>
          <w:sz w:val="32"/>
          <w:szCs w:val="32"/>
          <w14:textFill>
            <w14:solidFill>
              <w14:schemeClr w14:val="tx1"/>
            </w14:solidFill>
          </w14:textFill>
        </w:rPr>
        <w:t>要高度重视人工智能辅助，智慧医疗系统建设工作，建立工作协调机制，强化机构</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人员</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场地保障</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 w:hAnsi="仿宋" w:eastAsia="仿宋_GB2312" w:cs="仿宋"/>
          <w:color w:val="000000" w:themeColor="text1"/>
          <w:spacing w:val="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.落实资金保障。</w:t>
      </w:r>
      <w:r>
        <w:rPr>
          <w:rFonts w:hint="eastAsia" w:ascii="仿宋" w:hAnsi="仿宋" w:eastAsia="仿宋_GB2312" w:cs="仿宋"/>
          <w:color w:val="000000" w:themeColor="text1"/>
          <w:spacing w:val="0"/>
          <w:sz w:val="32"/>
          <w:szCs w:val="32"/>
          <w14:textFill>
            <w14:solidFill>
              <w14:schemeClr w14:val="tx1"/>
            </w14:solidFill>
          </w14:textFill>
        </w:rPr>
        <w:t>财政部门要根据建设需要，落实项目建设和运维资金</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为项目顺利开展按时完成提供资金保障，并严格使用管理</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提高资金绩效</w:t>
      </w:r>
      <w:r>
        <w:rPr>
          <w:rFonts w:hint="eastAsia" w:ascii="仿宋" w:hAnsi="仿宋" w:eastAsia="仿宋_GB2312" w:cs="仿宋"/>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default"/>
          <w:color w:val="000000" w:themeColor="text1"/>
          <w:spacing w:val="0"/>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.守牢安全底线。</w:t>
      </w:r>
      <w:r>
        <w:rPr>
          <w:rFonts w:hint="eastAsia" w:ascii="仿宋" w:hAnsi="仿宋" w:eastAsia="仿宋_GB2312" w:cs="仿宋"/>
          <w:color w:val="000000" w:themeColor="text1"/>
          <w:spacing w:val="0"/>
          <w:sz w:val="32"/>
          <w:szCs w:val="32"/>
          <w14:textFill>
            <w14:solidFill>
              <w14:schemeClr w14:val="tx1"/>
            </w14:solidFill>
          </w14:textFill>
        </w:rPr>
        <w:t>各地各部门落实信息安全管理主体责任，构建全方位</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多层次</w:t>
      </w:r>
      <w:r>
        <w:rPr>
          <w:rFonts w:hint="eastAsia" w:ascii="仿宋" w:hAnsi="仿宋" w:eastAsia="仿宋_GB2312" w:cs="仿宋"/>
          <w:color w:val="000000" w:themeColor="text1"/>
          <w:spacing w:val="0"/>
          <w:sz w:val="32"/>
          <w:szCs w:val="32"/>
          <w:lang w:eastAsia="zh-CN"/>
          <w14:textFill>
            <w14:solidFill>
              <w14:schemeClr w14:val="tx1"/>
            </w14:solidFill>
          </w14:textFill>
        </w:rPr>
        <w:t>、</w:t>
      </w:r>
      <w:r>
        <w:rPr>
          <w:rFonts w:hint="eastAsia" w:ascii="仿宋" w:hAnsi="仿宋" w:eastAsia="仿宋_GB2312" w:cs="仿宋"/>
          <w:color w:val="000000" w:themeColor="text1"/>
          <w:spacing w:val="0"/>
          <w:sz w:val="32"/>
          <w:szCs w:val="32"/>
          <w14:textFill>
            <w14:solidFill>
              <w14:schemeClr w14:val="tx1"/>
            </w14:solidFill>
          </w14:textFill>
        </w:rPr>
        <w:t>一致性的安全防护体系，强化数据资源全生命周期安全防护，重点加强数据共享应用中敏感资料，个人隐私，医疗信息等保护，确保为网络和数据安全。</w:t>
      </w:r>
    </w:p>
    <w:p>
      <w:pPr>
        <w:keepNext w:val="0"/>
        <w:keepLines w:val="0"/>
        <w:pageBreakBefore w:val="0"/>
        <w:widowControl w:val="0"/>
        <w:kinsoku/>
        <w:wordWrap/>
        <w:overflowPunct w:val="0"/>
        <w:topLinePunct w:val="0"/>
        <w:autoSpaceDE/>
        <w:autoSpaceDN/>
        <w:bidi w:val="0"/>
        <w:spacing w:line="580" w:lineRule="exact"/>
        <w:textAlignment w:val="auto"/>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spacing w:line="580" w:lineRule="exact"/>
        <w:jc w:val="both"/>
        <w:textAlignment w:val="auto"/>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color w:val="000000" w:themeColor="text1"/>
          <w:spacing w:val="0"/>
          <w:kern w:val="0"/>
          <w:sz w:val="32"/>
          <w:szCs w:val="32"/>
          <w:lang w:val="en-US" w:eastAsia="zh-CN" w:bidi="ar"/>
          <w14:textFill>
            <w14:solidFill>
              <w14:schemeClr w14:val="tx1"/>
            </w14:solidFill>
          </w14:textFill>
        </w:rPr>
        <w:t>附件</w:t>
      </w: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10</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80" w:lineRule="exact"/>
        <w:jc w:val="center"/>
        <w:textAlignment w:val="auto"/>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t>关于“加大自动体外除颤器投放力度”</w:t>
      </w:r>
    </w:p>
    <w:p>
      <w:pPr>
        <w:keepNext w:val="0"/>
        <w:keepLines w:val="0"/>
        <w:pageBreakBefore w:val="0"/>
        <w:widowControl w:val="0"/>
        <w:kinsoku/>
        <w:wordWrap/>
        <w:overflowPunct w:val="0"/>
        <w:topLinePunct w:val="0"/>
        <w:autoSpaceDE/>
        <w:autoSpaceDN/>
        <w:bidi w:val="0"/>
        <w:spacing w:line="580" w:lineRule="exact"/>
        <w:jc w:val="center"/>
        <w:textAlignment w:val="auto"/>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t>的实施方案</w:t>
      </w:r>
    </w:p>
    <w:p>
      <w:pPr>
        <w:pStyle w:val="4"/>
        <w:keepNext w:val="0"/>
        <w:keepLines w:val="0"/>
        <w:pageBreakBefore w:val="0"/>
        <w:widowControl w:val="0"/>
        <w:kinsoku/>
        <w:wordWrap/>
        <w:overflowPunct w:val="0"/>
        <w:topLinePunct w:val="0"/>
        <w:autoSpaceDE/>
        <w:autoSpaceDN/>
        <w:bidi w:val="0"/>
        <w:spacing w:line="580" w:lineRule="exact"/>
        <w:textAlignment w:val="auto"/>
        <w:rPr>
          <w:rFonts w:hint="eastAsia"/>
          <w:color w:val="000000" w:themeColor="text1"/>
          <w:spacing w:val="0"/>
          <w:lang w:val="en-US" w:eastAsia="zh-CN"/>
          <w14:textFill>
            <w14:solidFill>
              <w14:schemeClr w14:val="tx1"/>
            </w14:solidFill>
          </w14:textFill>
        </w:rPr>
      </w:pP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为贯彻落实省、市有关2023年民生实事的相关文件精神，</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高质量办好</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b w:val="0"/>
          <w:color w:val="000000" w:themeColor="text1"/>
          <w:spacing w:val="0"/>
          <w:kern w:val="2"/>
          <w:sz w:val="32"/>
          <w:szCs w:val="32"/>
          <w:lang w:val="en-US" w:eastAsia="zh-CN" w:bidi="ar-SA"/>
          <w14:textFill>
            <w14:solidFill>
              <w14:schemeClr w14:val="tx1"/>
            </w14:solidFill>
          </w14:textFill>
        </w:rPr>
        <w:t>加大自动体外除颤器投放力度</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”民生实事，结合我市实际，制定本实施方案。</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 xml:space="preserve">一、任务目标 </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在全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市</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学校</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企事业单位</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市民服务中心</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客运车站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火车站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地铁站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大型体育运动场馆</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大型商场</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大型商业综合体等场所配备自动体外除颤器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86台</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并对设备投放点的工作人员及社会公众开展应急救护培训 。</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 xml:space="preserve">二、实施内容 </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（一）服务对象。</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全市</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城乡</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居民</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学校师生、企事业单位职工、车站旅客、大型赛事运动员（裁判员、工作人员等）、大型商场综合体游客（售货员、工作人员等）</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（二）服务内容。</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.在全市学校、企</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事业单位</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市民服务中心</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客运车站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火车站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地铁站</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大型体育运动场馆</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大型商场</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大型商业综合体等场所配备自动体外除颤器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86台。</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2</w:t>
      </w:r>
      <w:r>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.对设备投放点的工作人员</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10</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人）开展</w:t>
      </w:r>
      <w:r>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自动体外除颤器</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）+心肺复苏（</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CPR</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）的操作培训</w:t>
      </w:r>
      <w:r>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及</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对</w:t>
      </w:r>
      <w:r>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社会公众开展应急救护</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普及</w:t>
      </w:r>
      <w:r>
        <w:rPr>
          <w:rFonts w:hint="default"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培训。</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 xml:space="preserve">三、实施步骤 </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（一）筹备阶段（2023年4月</w:t>
      </w: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底前</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按照人均配比，完成全市</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配备自动体外除颤器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86台</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分解数及</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对设备投放点的工作人员及社会公众开展应急救护培训</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数（详见附表）</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（二）实施阶段（2023年8月</w:t>
      </w: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底前</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完成全市</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86</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台</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自动体外除颤器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）的采购。</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（三）</w:t>
      </w: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培训</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阶段（2023年11月</w:t>
      </w: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底前</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完成设备投放点的工作人员（≥</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10</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人）开展</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自动体外除颤器</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AED</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）+心肺复苏（</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CPR</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）的操作培训，对社会公众开展应急救护普及培训。</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（四）验收阶段（</w:t>
      </w: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2023年12月20</w:t>
      </w:r>
      <w:r>
        <w:rPr>
          <w:rFonts w:hint="eastAsia"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日前</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通过日常调度、实地调研等方式，对各地</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配置及培训</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 xml:space="preserve">工作落实情况进行验收。 </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四、资金安排</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所需资金由各县（市、区）财政按照当地实际分别承担，省财政给予适当奖补（每台奖补</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0</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8</w:t>
      </w:r>
      <w:r>
        <w:rPr>
          <w:rFonts w:hint="eastAsia" w:ascii="仿宋_GB2312" w:hAnsi="仿宋_GB2312" w:eastAsia="仿宋_GB2312" w:cs="仿宋_GB2312"/>
          <w:color w:val="000000" w:themeColor="text1"/>
          <w:spacing w:val="0"/>
          <w:kern w:val="0"/>
          <w:sz w:val="32"/>
          <w:szCs w:val="32"/>
          <w:lang w:val="en-US" w:eastAsia="zh-CN" w:bidi="ar"/>
          <w14:textFill>
            <w14:solidFill>
              <w14:schemeClr w14:val="tx1"/>
            </w14:solidFill>
          </w14:textFill>
        </w:rPr>
        <w:t>万元）。在完成民生实事工作计划的基础上，积极引导社会捐赠资金投入。</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五、责任主体</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（一）部门责任领导。</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市红十字会</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党组成员、</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专职</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副</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会长</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黄  霞</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（二）牵头单位责任处室。</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市红十字会服务中心</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，负责人：</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戴佩玲</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，经办人及办公电话：</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黄凯乐</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，0793-8179833。</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（三）实施主体。</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（市、区）红十字会、财政局</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六、完成时限</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2023年11月底前。</w:t>
      </w:r>
    </w:p>
    <w:p>
      <w:pPr>
        <w:keepNext w:val="0"/>
        <w:keepLines w:val="0"/>
        <w:pageBreakBefore w:val="0"/>
        <w:widowControl w:val="0"/>
        <w:suppressLineNumbers w:val="0"/>
        <w:kinsoku/>
        <w:wordWrap/>
        <w:overflowPunct w:val="0"/>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color w:val="000000" w:themeColor="text1"/>
          <w:spacing w:val="0"/>
          <w:kern w:val="0"/>
          <w:sz w:val="32"/>
          <w:szCs w:val="32"/>
          <w:lang w:val="en-US" w:eastAsia="zh-CN" w:bidi="ar"/>
          <w14:textFill>
            <w14:solidFill>
              <w14:schemeClr w14:val="tx1"/>
            </w14:solidFill>
          </w14:textFill>
        </w:rPr>
        <w:t>七、保障措施</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lang w:val="en-US" w:eastAsia="zh-CN" w:bidi="ar"/>
          <w14:textFill>
            <w14:solidFill>
              <w14:schemeClr w14:val="tx1"/>
            </w14:solidFill>
          </w14:textFill>
        </w:rPr>
        <w:t>（一）加强组织领导。</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各地</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红十字会</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、财政部门要高度重视，加强组织领导，周密安排部署，强化协调配合，形成工作合力，确保</w:t>
      </w:r>
      <w:r>
        <w:rPr>
          <w:rFonts w:hint="eastAsia"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自动体外除颤器配置</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任务按时限</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完成。</w:t>
      </w:r>
    </w:p>
    <w:p>
      <w:pPr>
        <w:keepNext w:val="0"/>
        <w:keepLines w:val="0"/>
        <w:pageBreakBefore w:val="0"/>
        <w:widowControl w:val="0"/>
        <w:suppressLineNumbers w:val="0"/>
        <w:kinsoku/>
        <w:wordWrap/>
        <w:overflowPunct w:val="0"/>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（二）加强资金管理。</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各地要严格落实国家</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江西省</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和上饶市民生</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资金管理有关规定，规范资金使用范围，不得擅自扩大支出范围，不得以任何形式挤占、挪用、截留和滞留。</w:t>
      </w:r>
    </w:p>
    <w:p>
      <w:pPr>
        <w:keepNext w:val="0"/>
        <w:keepLines w:val="0"/>
        <w:pageBreakBefore w:val="0"/>
        <w:widowControl w:val="0"/>
        <w:kinsoku/>
        <w:wordWrap/>
        <w:overflowPunct w:val="0"/>
        <w:topLinePunct w:val="0"/>
        <w:autoSpaceDE/>
        <w:autoSpaceDN/>
        <w:bidi w:val="0"/>
        <w:spacing w:line="580" w:lineRule="exact"/>
        <w:ind w:firstLine="643" w:firstLineChars="200"/>
        <w:textAlignment w:val="auto"/>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spacing w:val="0"/>
          <w:kern w:val="0"/>
          <w:sz w:val="32"/>
          <w:szCs w:val="32"/>
          <w:u w:val="none"/>
          <w:lang w:val="en-US" w:eastAsia="zh-CN" w:bidi="ar"/>
          <w14:textFill>
            <w14:solidFill>
              <w14:schemeClr w14:val="tx1"/>
            </w14:solidFill>
          </w14:textFill>
        </w:rPr>
        <w:t>（三）加强监督检查。</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红十字会</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、财政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局</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要强化监督管理，健全工作机制，对工作推进不力的县</w:t>
      </w:r>
      <w:r>
        <w:rPr>
          <w:rFonts w:hint="eastAsia"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（市、区）</w:t>
      </w:r>
      <w:r>
        <w:rPr>
          <w:rFonts w:hint="default" w:ascii="Times New Roman" w:hAnsi="Times New Roman" w:eastAsia="仿宋_GB2312" w:cs="Times New Roman"/>
          <w:color w:val="000000" w:themeColor="text1"/>
          <w:spacing w:val="0"/>
          <w:kern w:val="0"/>
          <w:sz w:val="32"/>
          <w:szCs w:val="32"/>
          <w:u w:val="none"/>
          <w:lang w:val="en-US" w:eastAsia="zh-CN" w:bidi="ar"/>
          <w14:textFill>
            <w14:solidFill>
              <w14:schemeClr w14:val="tx1"/>
            </w14:solidFill>
          </w14:textFill>
        </w:rPr>
        <w:t>，采</w:t>
      </w:r>
      <w:r>
        <w:rPr>
          <w:rFonts w:hint="default" w:ascii="Times New Roman" w:hAnsi="Times New Roman" w:eastAsia="仿宋_GB2312" w:cs="Times New Roman"/>
          <w:color w:val="000000" w:themeColor="text1"/>
          <w:spacing w:val="0"/>
          <w:kern w:val="0"/>
          <w:sz w:val="32"/>
          <w:szCs w:val="32"/>
          <w:lang w:val="en-US" w:eastAsia="zh-CN" w:bidi="ar"/>
          <w14:textFill>
            <w14:solidFill>
              <w14:schemeClr w14:val="tx1"/>
            </w14:solidFill>
          </w14:textFill>
        </w:rPr>
        <w:t>取通报、督办、约谈、函询等方式督促限期整改。</w:t>
      </w:r>
    </w:p>
    <w:p>
      <w:pPr>
        <w:pStyle w:val="4"/>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各县（市、区）“加大自动体外除颤器投放力度”计划表</w:t>
      </w:r>
    </w:p>
    <w:p>
      <w:pPr>
        <w:keepNext w:val="0"/>
        <w:keepLines w:val="0"/>
        <w:pageBreakBefore w:val="0"/>
        <w:widowControl w:val="0"/>
        <w:kinsoku/>
        <w:wordWrap/>
        <w:overflowPunct w:val="0"/>
        <w:topLinePunct w:val="0"/>
        <w:autoSpaceDE/>
        <w:autoSpaceDN/>
        <w:bidi w:val="0"/>
        <w:rPr>
          <w:rFonts w:hint="eastAsia"/>
          <w:color w:val="000000" w:themeColor="text1"/>
          <w:spacing w:val="0"/>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t>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36"/>
          <w:szCs w:val="36"/>
          <w:lang w:val="en-US" w:eastAsia="zh-CN"/>
          <w14:textFill>
            <w14:solidFill>
              <w14:schemeClr w14:val="tx1"/>
            </w14:solidFill>
          </w14:textFill>
        </w:rPr>
        <w:t>各县（市、区）“加大自动体外除颤器投放力度”计划表</w:t>
      </w:r>
    </w:p>
    <w:tbl>
      <w:tblPr>
        <w:tblStyle w:val="15"/>
        <w:tblpPr w:leftFromText="180" w:rightFromText="180" w:vertAnchor="text" w:horzAnchor="page" w:tblpX="1585" w:tblpY="133"/>
        <w:tblOverlap w:val="never"/>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06"/>
        <w:gridCol w:w="2010"/>
        <w:gridCol w:w="1876"/>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adjustRightInd/>
              <w:snapToGrid w:val="0"/>
              <w:ind w:left="12"/>
              <w:jc w:val="center"/>
              <w:textAlignment w:val="auto"/>
              <w:rPr>
                <w:rFonts w:hint="eastAsia" w:ascii="黑体" w:hAnsi="黑体" w:eastAsia="黑体" w:cs="黑体"/>
                <w:b w:val="0"/>
                <w:bCs w:val="0"/>
                <w:color w:val="000000" w:themeColor="text1"/>
                <w:spacing w:val="0"/>
                <w:kern w:val="0"/>
                <w:sz w:val="28"/>
                <w:szCs w:val="28"/>
                <w:lang w:eastAsia="zh-CN"/>
                <w14:textFill>
                  <w14:solidFill>
                    <w14:schemeClr w14:val="tx1"/>
                  </w14:solidFill>
                </w14:textFill>
              </w:rPr>
            </w:pPr>
            <w:r>
              <w:rPr>
                <w:rFonts w:hint="eastAsia" w:ascii="黑体" w:hAnsi="黑体" w:eastAsia="黑体" w:cs="黑体"/>
                <w:b w:val="0"/>
                <w:bCs w:val="0"/>
                <w:color w:val="000000" w:themeColor="text1"/>
                <w:spacing w:val="0"/>
                <w:kern w:val="0"/>
                <w:sz w:val="28"/>
                <w:szCs w:val="28"/>
                <w:lang w:eastAsia="zh-CN"/>
                <w14:textFill>
                  <w14:solidFill>
                    <w14:schemeClr w14:val="tx1"/>
                  </w14:solidFill>
                </w14:textFill>
              </w:rPr>
              <w:t>县（市、区）</w:t>
            </w:r>
          </w:p>
        </w:tc>
        <w:tc>
          <w:tcPr>
            <w:tcW w:w="1906" w:type="dxa"/>
            <w:tcBorders>
              <w:top w:val="single" w:color="auto" w:sz="4" w:space="0"/>
              <w:left w:val="nil"/>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adjustRightInd/>
              <w:snapToGrid w:val="0"/>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28"/>
                <w:szCs w:val="28"/>
                <w:lang w:val="en-US" w:eastAsia="zh-CN" w:bidi="ar-SA"/>
                <w14:textFill>
                  <w14:solidFill>
                    <w14:schemeClr w14:val="tx1"/>
                  </w14:solidFill>
                </w14:textFill>
              </w:rPr>
              <w:t>AED</w:t>
            </w: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配置（台）</w:t>
            </w:r>
          </w:p>
        </w:tc>
        <w:tc>
          <w:tcPr>
            <w:tcW w:w="2010" w:type="dxa"/>
            <w:tcBorders>
              <w:top w:val="single" w:color="auto" w:sz="4" w:space="0"/>
              <w:left w:val="nil"/>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adjustRightInd/>
              <w:snapToGrid w:val="0"/>
              <w:ind w:left="12"/>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救护员培训</w:t>
            </w:r>
          </w:p>
          <w:p>
            <w:pPr>
              <w:pStyle w:val="14"/>
              <w:keepNext w:val="0"/>
              <w:keepLines w:val="0"/>
              <w:pageBreakBefore w:val="0"/>
              <w:widowControl w:val="0"/>
              <w:kinsoku/>
              <w:wordWrap/>
              <w:overflowPunct w:val="0"/>
              <w:topLinePunct w:val="0"/>
              <w:autoSpaceDE/>
              <w:autoSpaceDN/>
              <w:bidi w:val="0"/>
              <w:adjustRightInd/>
              <w:snapToGrid w:val="0"/>
              <w:ind w:left="12" w:leftChars="0"/>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w:t>
            </w:r>
            <w:r>
              <w:rPr>
                <w:rFonts w:hint="default" w:ascii="Times New Roman" w:hAnsi="Times New Roman" w:eastAsia="黑体" w:cs="Times New Roman"/>
                <w:b w:val="0"/>
                <w:bCs w:val="0"/>
                <w:color w:val="000000" w:themeColor="text1"/>
                <w:spacing w:val="0"/>
                <w:kern w:val="0"/>
                <w:sz w:val="28"/>
                <w:szCs w:val="28"/>
                <w:lang w:val="en-US" w:eastAsia="zh-CN" w:bidi="ar-SA"/>
                <w14:textFill>
                  <w14:solidFill>
                    <w14:schemeClr w14:val="tx1"/>
                  </w14:solidFill>
                </w14:textFill>
              </w:rPr>
              <w:t>10</w:t>
            </w: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人）</w:t>
            </w:r>
          </w:p>
        </w:tc>
        <w:tc>
          <w:tcPr>
            <w:tcW w:w="1876" w:type="dxa"/>
            <w:tcBorders>
              <w:top w:val="single" w:color="auto" w:sz="4" w:space="0"/>
              <w:left w:val="nil"/>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adjustRightInd/>
              <w:snapToGrid w:val="0"/>
              <w:ind w:left="12"/>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普及培训</w:t>
            </w:r>
          </w:p>
          <w:p>
            <w:pPr>
              <w:pStyle w:val="14"/>
              <w:keepNext w:val="0"/>
              <w:keepLines w:val="0"/>
              <w:pageBreakBefore w:val="0"/>
              <w:widowControl w:val="0"/>
              <w:kinsoku/>
              <w:wordWrap/>
              <w:overflowPunct w:val="0"/>
              <w:topLinePunct w:val="0"/>
              <w:autoSpaceDE/>
              <w:autoSpaceDN/>
              <w:bidi w:val="0"/>
              <w:adjustRightInd/>
              <w:snapToGrid w:val="0"/>
              <w:ind w:left="12" w:leftChars="0"/>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adjustRightInd/>
              <w:snapToGrid w:val="0"/>
              <w:ind w:left="12" w:leftChars="0"/>
              <w:jc w:val="center"/>
              <w:textAlignment w:val="auto"/>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pacing w:val="0"/>
                <w:kern w:val="0"/>
                <w:sz w:val="28"/>
                <w:szCs w:val="28"/>
                <w:lang w:val="en-US" w:eastAsia="zh-CN" w:bidi="ar-SA"/>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t>信州区</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7</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70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8810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t>广</w:t>
            </w: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信</w:t>
            </w:r>
            <w: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t>区</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10</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100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12100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广丰区</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10</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100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12530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玉山县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7</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70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8400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铅山县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6250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t>横峰</w:t>
            </w: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2</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20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3030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jc w:val="cente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弋阳县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5480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余干县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11</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110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13590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鄱阳县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16</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160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19140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万年县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50</w:t>
            </w:r>
          </w:p>
        </w:tc>
        <w:tc>
          <w:tcPr>
            <w:tcW w:w="1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5780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 w:hAnsi="仿宋" w:eastAsia="仿宋" w:cs="黑体"/>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德兴市</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4</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40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4750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Calibri" w:hAnsi="Calibri" w:eastAsia="宋体" w:cs="Times New Roman"/>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ind w:left="12" w:leftChars="0"/>
              <w:jc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28"/>
                <w:szCs w:val="28"/>
                <w14:textFill>
                  <w14:solidFill>
                    <w14:schemeClr w14:val="tx1"/>
                  </w14:solidFill>
                </w14:textFill>
              </w:rPr>
              <w:t>婺源</w:t>
            </w:r>
            <w:r>
              <w:rPr>
                <w:rFonts w:hint="eastAsia" w:ascii="仿宋_GB2312" w:hAnsi="仿宋_GB2312" w:eastAsia="仿宋_GB2312" w:cs="仿宋_GB2312"/>
                <w:b w:val="0"/>
                <w:bCs w:val="0"/>
                <w:color w:val="000000" w:themeColor="text1"/>
                <w:spacing w:val="0"/>
                <w:kern w:val="0"/>
                <w:sz w:val="28"/>
                <w:szCs w:val="28"/>
                <w:lang w:eastAsia="zh-CN"/>
                <w14:textFill>
                  <w14:solidFill>
                    <w14:schemeClr w14:val="tx1"/>
                  </w14:solidFill>
                </w14:textFill>
              </w:rPr>
              <w:t>县</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4</w:t>
            </w:r>
          </w:p>
        </w:tc>
        <w:tc>
          <w:tcPr>
            <w:tcW w:w="20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40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8"/>
                <w:szCs w:val="28"/>
                <w:u w:val="none"/>
                <w:lang w:val="en-US" w:eastAsia="zh-CN" w:bidi="ar"/>
                <w14:textFill>
                  <w14:solidFill>
                    <w14:schemeClr w14:val="tx1"/>
                  </w14:solidFill>
                </w14:textFill>
              </w:rPr>
              <w:t>5090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jc w:val="center"/>
              <w:textAlignment w:val="center"/>
              <w:rPr>
                <w:rFonts w:hint="eastAsia" w:ascii="Calibri" w:hAnsi="Calibri" w:eastAsia="宋体" w:cs="Times New Roman"/>
                <w:b w:val="0"/>
                <w:bCs w:val="0"/>
                <w:color w:val="000000" w:themeColor="text1"/>
                <w:spacing w:val="0"/>
                <w:kern w:val="0"/>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jc w:val="center"/>
              <w:rPr>
                <w:rFonts w:hint="eastAsia" w:ascii="仿宋_GB2312" w:hAnsi="仿宋_GB2312" w:eastAsia="仿宋_GB2312" w:cs="仿宋_GB2312"/>
                <w:b/>
                <w:bCs/>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lang w:eastAsia="zh-CN"/>
                <w14:textFill>
                  <w14:solidFill>
                    <w14:schemeClr w14:val="tx1"/>
                  </w14:solidFill>
                </w14:textFill>
              </w:rPr>
              <w:t>合</w:t>
            </w:r>
            <w:r>
              <w:rPr>
                <w:rFonts w:hint="eastAsia" w:ascii="仿宋_GB2312" w:hAnsi="仿宋_GB2312" w:eastAsia="仿宋_GB2312" w:cs="仿宋_GB2312"/>
                <w:b/>
                <w:bCs/>
                <w:color w:val="000000" w:themeColor="text1"/>
                <w:spacing w:val="0"/>
                <w:kern w:val="0"/>
                <w:sz w:val="28"/>
                <w:szCs w:val="28"/>
                <w14:textFill>
                  <w14:solidFill>
                    <w14:schemeClr w14:val="tx1"/>
                  </w14:solidFill>
                </w14:textFill>
              </w:rPr>
              <w:t xml:space="preserve">  计</w:t>
            </w:r>
          </w:p>
        </w:tc>
        <w:tc>
          <w:tcPr>
            <w:tcW w:w="19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spacing w:line="200" w:lineRule="exact"/>
              <w:jc w:val="center"/>
              <w:textAlignment w:val="center"/>
              <w:rPr>
                <w:rFonts w:hint="eastAsia" w:ascii="仿宋_GB2312" w:hAnsi="仿宋_GB2312" w:eastAsia="仿宋_GB2312" w:cs="仿宋_GB2312"/>
                <w:b/>
                <w:bCs/>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bidi="ar-SA"/>
                <w14:textFill>
                  <w14:solidFill>
                    <w14:schemeClr w14:val="tx1"/>
                  </w14:solidFill>
                </w14:textFill>
              </w:rPr>
              <w:t>86</w:t>
            </w:r>
          </w:p>
        </w:tc>
        <w:tc>
          <w:tcPr>
            <w:tcW w:w="2010" w:type="dxa"/>
            <w:tcBorders>
              <w:top w:val="single" w:color="auto" w:sz="4" w:space="0"/>
              <w:left w:val="nil"/>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jc w:val="center"/>
              <w:rPr>
                <w:rFonts w:hint="eastAsia" w:ascii="仿宋_GB2312" w:hAnsi="仿宋_GB2312" w:eastAsia="仿宋_GB2312" w:cs="仿宋_GB2312"/>
                <w:b/>
                <w:bCs/>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bidi="ar-SA"/>
                <w14:textFill>
                  <w14:solidFill>
                    <w14:schemeClr w14:val="tx1"/>
                  </w14:solidFill>
                </w14:textFill>
              </w:rPr>
              <w:t>860</w:t>
            </w:r>
          </w:p>
        </w:tc>
        <w:tc>
          <w:tcPr>
            <w:tcW w:w="1876" w:type="dxa"/>
            <w:tcBorders>
              <w:top w:val="single" w:color="auto" w:sz="4" w:space="0"/>
              <w:left w:val="nil"/>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jc w:val="center"/>
              <w:rPr>
                <w:rFonts w:hint="eastAsia" w:ascii="仿宋_GB2312" w:hAnsi="仿宋_GB2312" w:eastAsia="仿宋_GB2312" w:cs="仿宋_GB2312"/>
                <w:b/>
                <w:bCs/>
                <w:color w:val="000000" w:themeColor="text1"/>
                <w:spacing w:val="0"/>
                <w:kern w:val="0"/>
                <w:sz w:val="28"/>
                <w:szCs w:val="28"/>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pacing w:val="0"/>
                <w:kern w:val="0"/>
                <w:sz w:val="28"/>
                <w:szCs w:val="28"/>
                <w:lang w:val="en-US" w:eastAsia="zh-CN" w:bidi="ar-SA"/>
                <w14:textFill>
                  <w14:solidFill>
                    <w14:schemeClr w14:val="tx1"/>
                  </w14:solidFill>
                </w14:textFill>
              </w:rPr>
              <w:t>104950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val="0"/>
              <w:topLinePunct w:val="0"/>
              <w:autoSpaceDE/>
              <w:autoSpaceDN/>
              <w:bidi w:val="0"/>
              <w:jc w:val="center"/>
              <w:rPr>
                <w:rFonts w:hint="eastAsia" w:ascii="仿宋" w:hAnsi="仿宋" w:eastAsia="仿宋" w:cs="黑体"/>
                <w:b/>
                <w:bCs/>
                <w:color w:val="000000" w:themeColor="text1"/>
                <w:spacing w:val="0"/>
                <w:kern w:val="0"/>
                <w:sz w:val="24"/>
                <w:szCs w:val="24"/>
                <w:lang w:val="en-US" w:eastAsia="zh-CN" w:bidi="ar-SA"/>
                <w14:textFill>
                  <w14:solidFill>
                    <w14:schemeClr w14:val="tx1"/>
                  </w14:solidFill>
                </w14:textFill>
              </w:rPr>
            </w:pPr>
          </w:p>
        </w:tc>
      </w:tr>
    </w:tbl>
    <w:p>
      <w:pPr>
        <w:pStyle w:val="2"/>
        <w:keepNext w:val="0"/>
        <w:keepLines w:val="0"/>
        <w:pageBreakBefore w:val="0"/>
        <w:widowControl w:val="0"/>
        <w:kinsoku/>
        <w:wordWrap/>
        <w:overflowPunct w:val="0"/>
        <w:topLinePunct w:val="0"/>
        <w:autoSpaceDE/>
        <w:autoSpaceDN/>
        <w:bidi w:val="0"/>
        <w:ind w:left="0" w:leftChars="0" w:firstLine="0" w:firstLineChars="0"/>
        <w:rPr>
          <w:rFonts w:hint="default"/>
          <w:color w:val="000000" w:themeColor="text1"/>
          <w:lang w:val="en-US" w:eastAsia="zh-CN"/>
          <w14:textFill>
            <w14:solidFill>
              <w14:schemeClr w14:val="tx1"/>
            </w14:solidFill>
          </w14:textFill>
        </w:rPr>
      </w:pPr>
    </w:p>
    <w:sectPr>
      <w:pgSz w:w="11906" w:h="16838"/>
      <w:pgMar w:top="1701" w:right="1531" w:bottom="1587" w:left="1531" w:header="851" w:footer="130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3E9C80-D57C-43E1-B220-E21D963A14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595C9FB-09E6-482F-BC05-63B50B33BAE9}"/>
  </w:font>
  <w:font w:name="仿宋">
    <w:panose1 w:val="02010609060101010101"/>
    <w:charset w:val="86"/>
    <w:family w:val="auto"/>
    <w:pitch w:val="default"/>
    <w:sig w:usb0="800002BF" w:usb1="38CF7CFA" w:usb2="00000016" w:usb3="00000000" w:csb0="00040001" w:csb1="00000000"/>
    <w:embedRegular r:id="rId3" w:fontKey="{F80F4CC9-D1AC-4755-8F74-2732C7905DAF}"/>
  </w:font>
  <w:font w:name="方正仿宋">
    <w:altName w:val="仿宋"/>
    <w:panose1 w:val="03000509000000000000"/>
    <w:charset w:val="86"/>
    <w:family w:val="script"/>
    <w:pitch w:val="default"/>
    <w:sig w:usb0="00000000" w:usb1="00000000" w:usb2="00000010" w:usb3="00000000" w:csb0="00040000" w:csb1="00000000"/>
    <w:embedRegular r:id="rId4" w:fontKey="{37E0AC5C-25A8-4E49-9D88-51CE533A4AAA}"/>
  </w:font>
  <w:font w:name="方正小标宋_GBK">
    <w:panose1 w:val="03000509000000000000"/>
    <w:charset w:val="86"/>
    <w:family w:val="auto"/>
    <w:pitch w:val="default"/>
    <w:sig w:usb0="00000001" w:usb1="080E0000" w:usb2="00000000" w:usb3="00000000" w:csb0="00040000" w:csb1="00000000"/>
    <w:embedRegular r:id="rId5" w:fontKey="{A23792B0-F879-44A6-A27B-4D63CE207132}"/>
  </w:font>
  <w:font w:name="仿宋_GB2312">
    <w:panose1 w:val="02010609030101010101"/>
    <w:charset w:val="86"/>
    <w:family w:val="auto"/>
    <w:pitch w:val="default"/>
    <w:sig w:usb0="00000001" w:usb1="080E0000" w:usb2="00000000" w:usb3="00000000" w:csb0="00040000" w:csb1="00000000"/>
    <w:embedRegular r:id="rId6" w:fontKey="{D2675C83-E6D2-4B39-941B-607EFBF6DE7F}"/>
  </w:font>
  <w:font w:name="方正小标宋简体">
    <w:panose1 w:val="02010601030101010101"/>
    <w:charset w:val="86"/>
    <w:family w:val="auto"/>
    <w:pitch w:val="default"/>
    <w:sig w:usb0="00000001" w:usb1="080E0000" w:usb2="00000000" w:usb3="00000000" w:csb0="00040000" w:csb1="00000000"/>
    <w:embedRegular r:id="rId7" w:fontKey="{C17BDBBA-B23C-4C24-9853-D248837D872B}"/>
  </w:font>
  <w:font w:name="方正仿宋_GBK">
    <w:panose1 w:val="03000509000000000000"/>
    <w:charset w:val="86"/>
    <w:family w:val="auto"/>
    <w:pitch w:val="default"/>
    <w:sig w:usb0="00000001" w:usb1="080E0000" w:usb2="00000000" w:usb3="00000000" w:csb0="00040000" w:csb1="00000000"/>
    <w:embedRegular r:id="rId8" w:fontKey="{D3E9E389-9E74-4BA2-825B-91CDBCF9FAF6}"/>
  </w:font>
  <w:font w:name="楷体_GB2312">
    <w:panose1 w:val="02010609030101010101"/>
    <w:charset w:val="86"/>
    <w:family w:val="modern"/>
    <w:pitch w:val="default"/>
    <w:sig w:usb0="00000001" w:usb1="080E0000" w:usb2="00000000" w:usb3="00000000" w:csb0="00040000" w:csb1="00000000"/>
    <w:embedRegular r:id="rId9" w:fontKey="{A7D62DEA-874D-4CA3-9888-F976CC7337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ZTYxN2QwNjY3ZTNiNWZiMDhmYWExMzRhYzI5MmYifQ=="/>
  </w:docVars>
  <w:rsids>
    <w:rsidRoot w:val="19FF2C80"/>
    <w:rsid w:val="001C585C"/>
    <w:rsid w:val="003A3E59"/>
    <w:rsid w:val="004100CF"/>
    <w:rsid w:val="00592233"/>
    <w:rsid w:val="005A45F4"/>
    <w:rsid w:val="00890E01"/>
    <w:rsid w:val="00903380"/>
    <w:rsid w:val="00940672"/>
    <w:rsid w:val="00A77DC8"/>
    <w:rsid w:val="00D049D5"/>
    <w:rsid w:val="00DB5A9D"/>
    <w:rsid w:val="00E30C91"/>
    <w:rsid w:val="011F03C5"/>
    <w:rsid w:val="012F5F1D"/>
    <w:rsid w:val="01361C56"/>
    <w:rsid w:val="015A6751"/>
    <w:rsid w:val="0167071E"/>
    <w:rsid w:val="016F3D9D"/>
    <w:rsid w:val="0183371E"/>
    <w:rsid w:val="0188560C"/>
    <w:rsid w:val="01947BF5"/>
    <w:rsid w:val="01A45464"/>
    <w:rsid w:val="01AC58FA"/>
    <w:rsid w:val="01AD62D0"/>
    <w:rsid w:val="01AF285F"/>
    <w:rsid w:val="01B81D9A"/>
    <w:rsid w:val="01C16C6E"/>
    <w:rsid w:val="01CB71AA"/>
    <w:rsid w:val="01CC03F5"/>
    <w:rsid w:val="01FB1E42"/>
    <w:rsid w:val="02063E9B"/>
    <w:rsid w:val="0207110E"/>
    <w:rsid w:val="020F0BD0"/>
    <w:rsid w:val="021D0CAF"/>
    <w:rsid w:val="023856F5"/>
    <w:rsid w:val="0245348F"/>
    <w:rsid w:val="025F1034"/>
    <w:rsid w:val="026167B4"/>
    <w:rsid w:val="026E2D65"/>
    <w:rsid w:val="02787618"/>
    <w:rsid w:val="02804576"/>
    <w:rsid w:val="029B3025"/>
    <w:rsid w:val="02A9104F"/>
    <w:rsid w:val="02B03708"/>
    <w:rsid w:val="02B416E9"/>
    <w:rsid w:val="02B43941"/>
    <w:rsid w:val="02B55900"/>
    <w:rsid w:val="02B67986"/>
    <w:rsid w:val="02B93DD2"/>
    <w:rsid w:val="03041CF2"/>
    <w:rsid w:val="03062EAE"/>
    <w:rsid w:val="030836F7"/>
    <w:rsid w:val="030C74D9"/>
    <w:rsid w:val="030E5808"/>
    <w:rsid w:val="031305C0"/>
    <w:rsid w:val="031C30BD"/>
    <w:rsid w:val="034471E9"/>
    <w:rsid w:val="0352243E"/>
    <w:rsid w:val="035F669A"/>
    <w:rsid w:val="036931C2"/>
    <w:rsid w:val="0380118C"/>
    <w:rsid w:val="038B6F92"/>
    <w:rsid w:val="038D71E1"/>
    <w:rsid w:val="039075A1"/>
    <w:rsid w:val="03936447"/>
    <w:rsid w:val="039E17DE"/>
    <w:rsid w:val="039F7030"/>
    <w:rsid w:val="03B72223"/>
    <w:rsid w:val="03BB19AB"/>
    <w:rsid w:val="03C77695"/>
    <w:rsid w:val="03F458C6"/>
    <w:rsid w:val="04010B23"/>
    <w:rsid w:val="041A2F36"/>
    <w:rsid w:val="0420192B"/>
    <w:rsid w:val="04421D0D"/>
    <w:rsid w:val="04601693"/>
    <w:rsid w:val="04636168"/>
    <w:rsid w:val="046E193E"/>
    <w:rsid w:val="04757DEC"/>
    <w:rsid w:val="04791733"/>
    <w:rsid w:val="047A6958"/>
    <w:rsid w:val="047D1FD3"/>
    <w:rsid w:val="04932435"/>
    <w:rsid w:val="04C119CF"/>
    <w:rsid w:val="04DA576C"/>
    <w:rsid w:val="04E11E72"/>
    <w:rsid w:val="04F01199"/>
    <w:rsid w:val="04FA3ECB"/>
    <w:rsid w:val="050C35F6"/>
    <w:rsid w:val="05186EF6"/>
    <w:rsid w:val="0527272D"/>
    <w:rsid w:val="0528446C"/>
    <w:rsid w:val="052C20DE"/>
    <w:rsid w:val="056C2107"/>
    <w:rsid w:val="0574558E"/>
    <w:rsid w:val="058D19F2"/>
    <w:rsid w:val="05AD3D0D"/>
    <w:rsid w:val="05D53B36"/>
    <w:rsid w:val="05DC0A22"/>
    <w:rsid w:val="05EE31EC"/>
    <w:rsid w:val="05EF704C"/>
    <w:rsid w:val="06030586"/>
    <w:rsid w:val="061210A3"/>
    <w:rsid w:val="06166ADB"/>
    <w:rsid w:val="061859FA"/>
    <w:rsid w:val="06407620"/>
    <w:rsid w:val="064609D9"/>
    <w:rsid w:val="0659494A"/>
    <w:rsid w:val="06612A6B"/>
    <w:rsid w:val="06772DDD"/>
    <w:rsid w:val="06896A17"/>
    <w:rsid w:val="0693244A"/>
    <w:rsid w:val="06942316"/>
    <w:rsid w:val="06C11910"/>
    <w:rsid w:val="06CB3617"/>
    <w:rsid w:val="07024A34"/>
    <w:rsid w:val="074C36C4"/>
    <w:rsid w:val="07664FC8"/>
    <w:rsid w:val="077135A0"/>
    <w:rsid w:val="07760D67"/>
    <w:rsid w:val="07860FD6"/>
    <w:rsid w:val="07A53549"/>
    <w:rsid w:val="07BB7D8B"/>
    <w:rsid w:val="07BC32CB"/>
    <w:rsid w:val="07D7435E"/>
    <w:rsid w:val="07DC193D"/>
    <w:rsid w:val="07DF5427"/>
    <w:rsid w:val="07DF5DA9"/>
    <w:rsid w:val="07FE6985"/>
    <w:rsid w:val="080F79FB"/>
    <w:rsid w:val="08381D12"/>
    <w:rsid w:val="084B0958"/>
    <w:rsid w:val="084B70EC"/>
    <w:rsid w:val="08541F8A"/>
    <w:rsid w:val="088A41E2"/>
    <w:rsid w:val="08942989"/>
    <w:rsid w:val="08B275AB"/>
    <w:rsid w:val="08B4038B"/>
    <w:rsid w:val="08BD4EB1"/>
    <w:rsid w:val="08C017E0"/>
    <w:rsid w:val="08C425EE"/>
    <w:rsid w:val="08DA4293"/>
    <w:rsid w:val="08DE76C3"/>
    <w:rsid w:val="08EC6CAE"/>
    <w:rsid w:val="09237B3E"/>
    <w:rsid w:val="095F7C02"/>
    <w:rsid w:val="096F7052"/>
    <w:rsid w:val="09732A82"/>
    <w:rsid w:val="097C49B0"/>
    <w:rsid w:val="09A31914"/>
    <w:rsid w:val="09DF1E84"/>
    <w:rsid w:val="09EC54ED"/>
    <w:rsid w:val="09EF075A"/>
    <w:rsid w:val="0A226D9C"/>
    <w:rsid w:val="0A2F6BF3"/>
    <w:rsid w:val="0A3D6BAF"/>
    <w:rsid w:val="0A5148AD"/>
    <w:rsid w:val="0A53769E"/>
    <w:rsid w:val="0A6F52B7"/>
    <w:rsid w:val="0A76742C"/>
    <w:rsid w:val="0A775F9D"/>
    <w:rsid w:val="0A797677"/>
    <w:rsid w:val="0A7C6EA5"/>
    <w:rsid w:val="0A80499C"/>
    <w:rsid w:val="0A921C1D"/>
    <w:rsid w:val="0A9F0817"/>
    <w:rsid w:val="0AA1738B"/>
    <w:rsid w:val="0AC12CFB"/>
    <w:rsid w:val="0ADC7D2E"/>
    <w:rsid w:val="0AEF5855"/>
    <w:rsid w:val="0AF843AA"/>
    <w:rsid w:val="0B00315C"/>
    <w:rsid w:val="0B1003AC"/>
    <w:rsid w:val="0B110A73"/>
    <w:rsid w:val="0B302B9D"/>
    <w:rsid w:val="0B312FAD"/>
    <w:rsid w:val="0B44456D"/>
    <w:rsid w:val="0B4C450E"/>
    <w:rsid w:val="0B5632D7"/>
    <w:rsid w:val="0B700A3C"/>
    <w:rsid w:val="0B716B47"/>
    <w:rsid w:val="0B746B0E"/>
    <w:rsid w:val="0B7564ED"/>
    <w:rsid w:val="0B7E0981"/>
    <w:rsid w:val="0B7F193F"/>
    <w:rsid w:val="0B843B13"/>
    <w:rsid w:val="0B952F3B"/>
    <w:rsid w:val="0BB51E0A"/>
    <w:rsid w:val="0BBF3CD6"/>
    <w:rsid w:val="0BC176BF"/>
    <w:rsid w:val="0BDE0351"/>
    <w:rsid w:val="0BE74007"/>
    <w:rsid w:val="0BF01B01"/>
    <w:rsid w:val="0C051F02"/>
    <w:rsid w:val="0C135587"/>
    <w:rsid w:val="0C1B17A8"/>
    <w:rsid w:val="0C584AD6"/>
    <w:rsid w:val="0C595262"/>
    <w:rsid w:val="0C616F65"/>
    <w:rsid w:val="0C63301B"/>
    <w:rsid w:val="0C9613D2"/>
    <w:rsid w:val="0CC44FF9"/>
    <w:rsid w:val="0CCF74B0"/>
    <w:rsid w:val="0CEC61D5"/>
    <w:rsid w:val="0CEE2966"/>
    <w:rsid w:val="0D022A7F"/>
    <w:rsid w:val="0D3112F1"/>
    <w:rsid w:val="0D365D72"/>
    <w:rsid w:val="0D4B1174"/>
    <w:rsid w:val="0D615DF6"/>
    <w:rsid w:val="0D66213E"/>
    <w:rsid w:val="0D6E7818"/>
    <w:rsid w:val="0D722C41"/>
    <w:rsid w:val="0D85568F"/>
    <w:rsid w:val="0D9E20FC"/>
    <w:rsid w:val="0DAF09C9"/>
    <w:rsid w:val="0DC53D75"/>
    <w:rsid w:val="0DCE1DE3"/>
    <w:rsid w:val="0DD42857"/>
    <w:rsid w:val="0DDD3435"/>
    <w:rsid w:val="0DEB79CB"/>
    <w:rsid w:val="0DF31001"/>
    <w:rsid w:val="0DF8170F"/>
    <w:rsid w:val="0E072D57"/>
    <w:rsid w:val="0E0F3B23"/>
    <w:rsid w:val="0E106F46"/>
    <w:rsid w:val="0E1C5AFD"/>
    <w:rsid w:val="0E252EFA"/>
    <w:rsid w:val="0E2765BB"/>
    <w:rsid w:val="0E2863E4"/>
    <w:rsid w:val="0E4D2B93"/>
    <w:rsid w:val="0E6A0AF7"/>
    <w:rsid w:val="0EB17782"/>
    <w:rsid w:val="0EB26622"/>
    <w:rsid w:val="0ECF4377"/>
    <w:rsid w:val="0EE82192"/>
    <w:rsid w:val="0EEF5779"/>
    <w:rsid w:val="0EF4459F"/>
    <w:rsid w:val="0EF45EDB"/>
    <w:rsid w:val="0F1F74E5"/>
    <w:rsid w:val="0F2019A4"/>
    <w:rsid w:val="0F2A06D8"/>
    <w:rsid w:val="0F343F9B"/>
    <w:rsid w:val="0F36575A"/>
    <w:rsid w:val="0F582133"/>
    <w:rsid w:val="0F636714"/>
    <w:rsid w:val="0F6C7F8E"/>
    <w:rsid w:val="0F852CEE"/>
    <w:rsid w:val="0F883719"/>
    <w:rsid w:val="0F9534D5"/>
    <w:rsid w:val="0F9966FB"/>
    <w:rsid w:val="0F9D769E"/>
    <w:rsid w:val="0FA41690"/>
    <w:rsid w:val="0FA622BA"/>
    <w:rsid w:val="0FAD2F3D"/>
    <w:rsid w:val="0FB05C89"/>
    <w:rsid w:val="0FD06258"/>
    <w:rsid w:val="0FD2575A"/>
    <w:rsid w:val="0FD31341"/>
    <w:rsid w:val="0FD513A5"/>
    <w:rsid w:val="0FD65E09"/>
    <w:rsid w:val="0FDC7A2D"/>
    <w:rsid w:val="0FDD33FE"/>
    <w:rsid w:val="0FE1066A"/>
    <w:rsid w:val="0FE5145A"/>
    <w:rsid w:val="0FF270DC"/>
    <w:rsid w:val="0FF609E8"/>
    <w:rsid w:val="10026696"/>
    <w:rsid w:val="1005532F"/>
    <w:rsid w:val="100C7323"/>
    <w:rsid w:val="102F61C2"/>
    <w:rsid w:val="10443DA6"/>
    <w:rsid w:val="106F09D8"/>
    <w:rsid w:val="10A11D0E"/>
    <w:rsid w:val="10A96FD0"/>
    <w:rsid w:val="10D85DC7"/>
    <w:rsid w:val="10DB4E49"/>
    <w:rsid w:val="10DB53C3"/>
    <w:rsid w:val="110955B2"/>
    <w:rsid w:val="111045F7"/>
    <w:rsid w:val="112A16D3"/>
    <w:rsid w:val="1137228A"/>
    <w:rsid w:val="11411AA4"/>
    <w:rsid w:val="1147399E"/>
    <w:rsid w:val="11674292"/>
    <w:rsid w:val="116A6CAE"/>
    <w:rsid w:val="11861238"/>
    <w:rsid w:val="118A79FE"/>
    <w:rsid w:val="119764C6"/>
    <w:rsid w:val="11AF00E6"/>
    <w:rsid w:val="11BD1282"/>
    <w:rsid w:val="11BD1578"/>
    <w:rsid w:val="11C6241E"/>
    <w:rsid w:val="11CB2F71"/>
    <w:rsid w:val="11EA7F54"/>
    <w:rsid w:val="11EE447F"/>
    <w:rsid w:val="12161E5A"/>
    <w:rsid w:val="1222527E"/>
    <w:rsid w:val="122B443D"/>
    <w:rsid w:val="125F0CC4"/>
    <w:rsid w:val="126D7D83"/>
    <w:rsid w:val="12823CC8"/>
    <w:rsid w:val="12B154E9"/>
    <w:rsid w:val="12B511DB"/>
    <w:rsid w:val="12B7097C"/>
    <w:rsid w:val="12C10F73"/>
    <w:rsid w:val="12D94DDE"/>
    <w:rsid w:val="12DD2B14"/>
    <w:rsid w:val="13267DEC"/>
    <w:rsid w:val="133B35F4"/>
    <w:rsid w:val="13522171"/>
    <w:rsid w:val="135677FE"/>
    <w:rsid w:val="135D0C50"/>
    <w:rsid w:val="138A0264"/>
    <w:rsid w:val="138D70AD"/>
    <w:rsid w:val="139A3B1E"/>
    <w:rsid w:val="13B151C2"/>
    <w:rsid w:val="13C4516F"/>
    <w:rsid w:val="13CE16FF"/>
    <w:rsid w:val="13CF3BBE"/>
    <w:rsid w:val="13CF4E70"/>
    <w:rsid w:val="13D0252D"/>
    <w:rsid w:val="13D87CAE"/>
    <w:rsid w:val="13DA4CC6"/>
    <w:rsid w:val="13EA6483"/>
    <w:rsid w:val="13FE598C"/>
    <w:rsid w:val="14113DB2"/>
    <w:rsid w:val="141377B6"/>
    <w:rsid w:val="14150EF2"/>
    <w:rsid w:val="1417107A"/>
    <w:rsid w:val="144179E4"/>
    <w:rsid w:val="145C15B9"/>
    <w:rsid w:val="148067B5"/>
    <w:rsid w:val="14820CE0"/>
    <w:rsid w:val="149D154C"/>
    <w:rsid w:val="149D165C"/>
    <w:rsid w:val="14AA499C"/>
    <w:rsid w:val="14AC0861"/>
    <w:rsid w:val="14C77178"/>
    <w:rsid w:val="14F35E34"/>
    <w:rsid w:val="14FF0A42"/>
    <w:rsid w:val="15157234"/>
    <w:rsid w:val="1521037A"/>
    <w:rsid w:val="152148DD"/>
    <w:rsid w:val="15476D3C"/>
    <w:rsid w:val="155B23A4"/>
    <w:rsid w:val="1566245A"/>
    <w:rsid w:val="159710E7"/>
    <w:rsid w:val="15AE2DC9"/>
    <w:rsid w:val="15DB13DD"/>
    <w:rsid w:val="15E36C12"/>
    <w:rsid w:val="15EE30EC"/>
    <w:rsid w:val="160C4C46"/>
    <w:rsid w:val="160C54E4"/>
    <w:rsid w:val="16126C10"/>
    <w:rsid w:val="16194B64"/>
    <w:rsid w:val="161A5625"/>
    <w:rsid w:val="16207F48"/>
    <w:rsid w:val="16294482"/>
    <w:rsid w:val="16484407"/>
    <w:rsid w:val="16602883"/>
    <w:rsid w:val="166F6374"/>
    <w:rsid w:val="1672012A"/>
    <w:rsid w:val="16775FC6"/>
    <w:rsid w:val="16836B97"/>
    <w:rsid w:val="16844096"/>
    <w:rsid w:val="16861DDD"/>
    <w:rsid w:val="168A0578"/>
    <w:rsid w:val="169B6B05"/>
    <w:rsid w:val="16A20084"/>
    <w:rsid w:val="16B77107"/>
    <w:rsid w:val="16C3069E"/>
    <w:rsid w:val="16D808CF"/>
    <w:rsid w:val="16DB2936"/>
    <w:rsid w:val="16EE133B"/>
    <w:rsid w:val="16F33207"/>
    <w:rsid w:val="1702260D"/>
    <w:rsid w:val="170956D5"/>
    <w:rsid w:val="172A7537"/>
    <w:rsid w:val="1732375F"/>
    <w:rsid w:val="173646CF"/>
    <w:rsid w:val="174233CC"/>
    <w:rsid w:val="17583764"/>
    <w:rsid w:val="175D3A3C"/>
    <w:rsid w:val="1765166D"/>
    <w:rsid w:val="17666479"/>
    <w:rsid w:val="176B0F76"/>
    <w:rsid w:val="176E390B"/>
    <w:rsid w:val="17703F12"/>
    <w:rsid w:val="178608F7"/>
    <w:rsid w:val="178D648A"/>
    <w:rsid w:val="179D473B"/>
    <w:rsid w:val="17A977A9"/>
    <w:rsid w:val="17D80033"/>
    <w:rsid w:val="17FC6955"/>
    <w:rsid w:val="18055ABB"/>
    <w:rsid w:val="1817564B"/>
    <w:rsid w:val="183F78DC"/>
    <w:rsid w:val="184126D5"/>
    <w:rsid w:val="18454BDE"/>
    <w:rsid w:val="185D4788"/>
    <w:rsid w:val="186F1BA2"/>
    <w:rsid w:val="18930568"/>
    <w:rsid w:val="18A93A6E"/>
    <w:rsid w:val="18C21D94"/>
    <w:rsid w:val="18DD78A2"/>
    <w:rsid w:val="1906789E"/>
    <w:rsid w:val="191948AA"/>
    <w:rsid w:val="19280E21"/>
    <w:rsid w:val="192B389C"/>
    <w:rsid w:val="193B60FB"/>
    <w:rsid w:val="195072DC"/>
    <w:rsid w:val="195B397D"/>
    <w:rsid w:val="19632AC4"/>
    <w:rsid w:val="1969365F"/>
    <w:rsid w:val="196D755B"/>
    <w:rsid w:val="19714281"/>
    <w:rsid w:val="19805C52"/>
    <w:rsid w:val="19822104"/>
    <w:rsid w:val="19996F16"/>
    <w:rsid w:val="199C38F5"/>
    <w:rsid w:val="19A548C1"/>
    <w:rsid w:val="19B27D65"/>
    <w:rsid w:val="19B72FF9"/>
    <w:rsid w:val="19F73139"/>
    <w:rsid w:val="19FF2C80"/>
    <w:rsid w:val="1A1373DB"/>
    <w:rsid w:val="1A1B4F96"/>
    <w:rsid w:val="1A545445"/>
    <w:rsid w:val="1A616B1E"/>
    <w:rsid w:val="1A8040E2"/>
    <w:rsid w:val="1A887C43"/>
    <w:rsid w:val="1AB763F4"/>
    <w:rsid w:val="1ABD67D5"/>
    <w:rsid w:val="1ACD4450"/>
    <w:rsid w:val="1AD31F86"/>
    <w:rsid w:val="1ADA089E"/>
    <w:rsid w:val="1AE604C2"/>
    <w:rsid w:val="1AE62F51"/>
    <w:rsid w:val="1AF173F4"/>
    <w:rsid w:val="1AF2069A"/>
    <w:rsid w:val="1B012F67"/>
    <w:rsid w:val="1B064E63"/>
    <w:rsid w:val="1B0849DB"/>
    <w:rsid w:val="1B1512F5"/>
    <w:rsid w:val="1B1B740A"/>
    <w:rsid w:val="1B4321F3"/>
    <w:rsid w:val="1B6E0BB2"/>
    <w:rsid w:val="1BA3759C"/>
    <w:rsid w:val="1BBB3743"/>
    <w:rsid w:val="1BD37E6C"/>
    <w:rsid w:val="1BEC257E"/>
    <w:rsid w:val="1C1A7C0D"/>
    <w:rsid w:val="1C2F6207"/>
    <w:rsid w:val="1C3155D2"/>
    <w:rsid w:val="1C3A278C"/>
    <w:rsid w:val="1C4F042C"/>
    <w:rsid w:val="1C6814EE"/>
    <w:rsid w:val="1C6E772A"/>
    <w:rsid w:val="1C7C1C85"/>
    <w:rsid w:val="1C925F72"/>
    <w:rsid w:val="1C935910"/>
    <w:rsid w:val="1C9578EF"/>
    <w:rsid w:val="1CB44247"/>
    <w:rsid w:val="1CC42C3D"/>
    <w:rsid w:val="1CC735D8"/>
    <w:rsid w:val="1CD523FC"/>
    <w:rsid w:val="1CF14667"/>
    <w:rsid w:val="1D084925"/>
    <w:rsid w:val="1D1A78EB"/>
    <w:rsid w:val="1D2F4FA3"/>
    <w:rsid w:val="1D2F7227"/>
    <w:rsid w:val="1D340AC7"/>
    <w:rsid w:val="1D524BA0"/>
    <w:rsid w:val="1D532FC0"/>
    <w:rsid w:val="1D54176B"/>
    <w:rsid w:val="1D7C0B14"/>
    <w:rsid w:val="1D87262E"/>
    <w:rsid w:val="1D874E56"/>
    <w:rsid w:val="1D876ECE"/>
    <w:rsid w:val="1D8D0CB6"/>
    <w:rsid w:val="1DB30E69"/>
    <w:rsid w:val="1DC12188"/>
    <w:rsid w:val="1DD23ACE"/>
    <w:rsid w:val="1DD24F09"/>
    <w:rsid w:val="1DDC65EC"/>
    <w:rsid w:val="1DED0082"/>
    <w:rsid w:val="1DFE7590"/>
    <w:rsid w:val="1E133983"/>
    <w:rsid w:val="1E16343D"/>
    <w:rsid w:val="1E2A429F"/>
    <w:rsid w:val="1E3B2436"/>
    <w:rsid w:val="1E4C15E4"/>
    <w:rsid w:val="1E617614"/>
    <w:rsid w:val="1E7E4FE1"/>
    <w:rsid w:val="1EB022B0"/>
    <w:rsid w:val="1EB97ADD"/>
    <w:rsid w:val="1EBD61B1"/>
    <w:rsid w:val="1EC80078"/>
    <w:rsid w:val="1EDE41BB"/>
    <w:rsid w:val="1EEB4990"/>
    <w:rsid w:val="1EEF600B"/>
    <w:rsid w:val="1EF737B9"/>
    <w:rsid w:val="1F1326F4"/>
    <w:rsid w:val="1F162ED3"/>
    <w:rsid w:val="1F1B62ED"/>
    <w:rsid w:val="1F2938EE"/>
    <w:rsid w:val="1F42772F"/>
    <w:rsid w:val="1F4D7B78"/>
    <w:rsid w:val="1F790AFD"/>
    <w:rsid w:val="1F7D61C5"/>
    <w:rsid w:val="1F7E3601"/>
    <w:rsid w:val="1F903DC4"/>
    <w:rsid w:val="1FAB67EC"/>
    <w:rsid w:val="1FD64124"/>
    <w:rsid w:val="1FD728EB"/>
    <w:rsid w:val="1FDF20C6"/>
    <w:rsid w:val="1FE2672D"/>
    <w:rsid w:val="1FE3330D"/>
    <w:rsid w:val="200D3806"/>
    <w:rsid w:val="200E277C"/>
    <w:rsid w:val="2010506B"/>
    <w:rsid w:val="20182AC6"/>
    <w:rsid w:val="20284041"/>
    <w:rsid w:val="202C674A"/>
    <w:rsid w:val="20336EE2"/>
    <w:rsid w:val="204A4AB0"/>
    <w:rsid w:val="20653333"/>
    <w:rsid w:val="20654E90"/>
    <w:rsid w:val="2079383F"/>
    <w:rsid w:val="208237EE"/>
    <w:rsid w:val="208B05DD"/>
    <w:rsid w:val="209E30BD"/>
    <w:rsid w:val="20B157AD"/>
    <w:rsid w:val="20C45C1D"/>
    <w:rsid w:val="20C821B6"/>
    <w:rsid w:val="20E06267"/>
    <w:rsid w:val="20EA473C"/>
    <w:rsid w:val="20EB25D7"/>
    <w:rsid w:val="20FA732D"/>
    <w:rsid w:val="210B4C1D"/>
    <w:rsid w:val="211A52FA"/>
    <w:rsid w:val="212F6D92"/>
    <w:rsid w:val="213548C9"/>
    <w:rsid w:val="216B423A"/>
    <w:rsid w:val="216D3CC7"/>
    <w:rsid w:val="21722DD2"/>
    <w:rsid w:val="21A34113"/>
    <w:rsid w:val="21B1656C"/>
    <w:rsid w:val="21BF1B2A"/>
    <w:rsid w:val="21C61F05"/>
    <w:rsid w:val="21CD3EE4"/>
    <w:rsid w:val="21D63120"/>
    <w:rsid w:val="21D632A9"/>
    <w:rsid w:val="21DC4B27"/>
    <w:rsid w:val="21DF258A"/>
    <w:rsid w:val="21E12CFA"/>
    <w:rsid w:val="22235D46"/>
    <w:rsid w:val="222613DB"/>
    <w:rsid w:val="22265ACD"/>
    <w:rsid w:val="22295544"/>
    <w:rsid w:val="224C2727"/>
    <w:rsid w:val="227F264F"/>
    <w:rsid w:val="22915647"/>
    <w:rsid w:val="229536C0"/>
    <w:rsid w:val="229B5380"/>
    <w:rsid w:val="22A402EC"/>
    <w:rsid w:val="22AE58EE"/>
    <w:rsid w:val="22DB0A86"/>
    <w:rsid w:val="22DD56DA"/>
    <w:rsid w:val="22ED0BE6"/>
    <w:rsid w:val="22F163BE"/>
    <w:rsid w:val="22F90835"/>
    <w:rsid w:val="230209B0"/>
    <w:rsid w:val="2308168B"/>
    <w:rsid w:val="23175B0A"/>
    <w:rsid w:val="232A1040"/>
    <w:rsid w:val="23331834"/>
    <w:rsid w:val="233D1E23"/>
    <w:rsid w:val="235A74A1"/>
    <w:rsid w:val="235E3528"/>
    <w:rsid w:val="23621EBF"/>
    <w:rsid w:val="237029E0"/>
    <w:rsid w:val="23766A34"/>
    <w:rsid w:val="239651BF"/>
    <w:rsid w:val="23971E67"/>
    <w:rsid w:val="239B558C"/>
    <w:rsid w:val="23C82B3C"/>
    <w:rsid w:val="23D31EB6"/>
    <w:rsid w:val="23D563CE"/>
    <w:rsid w:val="23D6082A"/>
    <w:rsid w:val="23D7409F"/>
    <w:rsid w:val="24081E7C"/>
    <w:rsid w:val="24092405"/>
    <w:rsid w:val="2435141D"/>
    <w:rsid w:val="243D6B16"/>
    <w:rsid w:val="24495DB6"/>
    <w:rsid w:val="244B7345"/>
    <w:rsid w:val="24514292"/>
    <w:rsid w:val="24555DFC"/>
    <w:rsid w:val="245B18E6"/>
    <w:rsid w:val="2478062F"/>
    <w:rsid w:val="248A59B3"/>
    <w:rsid w:val="249149C9"/>
    <w:rsid w:val="249216D5"/>
    <w:rsid w:val="24B5008F"/>
    <w:rsid w:val="24BB35E3"/>
    <w:rsid w:val="24BC1E2D"/>
    <w:rsid w:val="24BF0DBF"/>
    <w:rsid w:val="24CA6BEC"/>
    <w:rsid w:val="24D04CE7"/>
    <w:rsid w:val="25137309"/>
    <w:rsid w:val="25384D6E"/>
    <w:rsid w:val="254C38A6"/>
    <w:rsid w:val="25520315"/>
    <w:rsid w:val="25551B36"/>
    <w:rsid w:val="255E59A3"/>
    <w:rsid w:val="256A13F6"/>
    <w:rsid w:val="256E3E65"/>
    <w:rsid w:val="259952E7"/>
    <w:rsid w:val="25A11272"/>
    <w:rsid w:val="25B0393F"/>
    <w:rsid w:val="25B06863"/>
    <w:rsid w:val="25BB417B"/>
    <w:rsid w:val="25C31B07"/>
    <w:rsid w:val="25C50C9A"/>
    <w:rsid w:val="25C754EE"/>
    <w:rsid w:val="25CF3AF0"/>
    <w:rsid w:val="25F74BBF"/>
    <w:rsid w:val="2603600C"/>
    <w:rsid w:val="260D0052"/>
    <w:rsid w:val="260E70E4"/>
    <w:rsid w:val="26130050"/>
    <w:rsid w:val="26133366"/>
    <w:rsid w:val="262479BA"/>
    <w:rsid w:val="2639022E"/>
    <w:rsid w:val="26431EC4"/>
    <w:rsid w:val="26525693"/>
    <w:rsid w:val="26605C66"/>
    <w:rsid w:val="26627411"/>
    <w:rsid w:val="266576EC"/>
    <w:rsid w:val="26883D5B"/>
    <w:rsid w:val="268F4590"/>
    <w:rsid w:val="269E123B"/>
    <w:rsid w:val="26D00195"/>
    <w:rsid w:val="26D74848"/>
    <w:rsid w:val="26E71C93"/>
    <w:rsid w:val="26EA7BC5"/>
    <w:rsid w:val="26FB16A5"/>
    <w:rsid w:val="27043B2B"/>
    <w:rsid w:val="272154A0"/>
    <w:rsid w:val="27330DE7"/>
    <w:rsid w:val="273521A3"/>
    <w:rsid w:val="2739031C"/>
    <w:rsid w:val="273C0F2A"/>
    <w:rsid w:val="273F5D9A"/>
    <w:rsid w:val="27583236"/>
    <w:rsid w:val="276A1CD6"/>
    <w:rsid w:val="276F2833"/>
    <w:rsid w:val="277B731B"/>
    <w:rsid w:val="27900704"/>
    <w:rsid w:val="279A58A6"/>
    <w:rsid w:val="279B4C42"/>
    <w:rsid w:val="27A71BF9"/>
    <w:rsid w:val="27A7470D"/>
    <w:rsid w:val="27AC314C"/>
    <w:rsid w:val="27BE1D8A"/>
    <w:rsid w:val="27E14724"/>
    <w:rsid w:val="27E50605"/>
    <w:rsid w:val="28007490"/>
    <w:rsid w:val="28131E10"/>
    <w:rsid w:val="28271372"/>
    <w:rsid w:val="283F1B56"/>
    <w:rsid w:val="285451FB"/>
    <w:rsid w:val="28632AAE"/>
    <w:rsid w:val="287F171A"/>
    <w:rsid w:val="288C63F6"/>
    <w:rsid w:val="288E6ACE"/>
    <w:rsid w:val="289C7DF1"/>
    <w:rsid w:val="28CB72E6"/>
    <w:rsid w:val="28CE6029"/>
    <w:rsid w:val="28FD1E28"/>
    <w:rsid w:val="290F0656"/>
    <w:rsid w:val="292321AB"/>
    <w:rsid w:val="29253F1D"/>
    <w:rsid w:val="295916B0"/>
    <w:rsid w:val="295A43BD"/>
    <w:rsid w:val="29692996"/>
    <w:rsid w:val="298421E7"/>
    <w:rsid w:val="298C034D"/>
    <w:rsid w:val="29916150"/>
    <w:rsid w:val="29AD3CBF"/>
    <w:rsid w:val="29AD43B7"/>
    <w:rsid w:val="29B05DB6"/>
    <w:rsid w:val="29B0651F"/>
    <w:rsid w:val="29B138EC"/>
    <w:rsid w:val="29C80B88"/>
    <w:rsid w:val="29DA067B"/>
    <w:rsid w:val="29DA19BE"/>
    <w:rsid w:val="29E256F5"/>
    <w:rsid w:val="29E66E37"/>
    <w:rsid w:val="2A1429E4"/>
    <w:rsid w:val="2A2C11E8"/>
    <w:rsid w:val="2A3B4E1E"/>
    <w:rsid w:val="2A6C2D93"/>
    <w:rsid w:val="2A6E30BF"/>
    <w:rsid w:val="2A8A12B4"/>
    <w:rsid w:val="2A8C32C5"/>
    <w:rsid w:val="2A907353"/>
    <w:rsid w:val="2A967283"/>
    <w:rsid w:val="2A983FAC"/>
    <w:rsid w:val="2AB13232"/>
    <w:rsid w:val="2AF51E42"/>
    <w:rsid w:val="2AFA595C"/>
    <w:rsid w:val="2B2C0346"/>
    <w:rsid w:val="2B2C6303"/>
    <w:rsid w:val="2B556038"/>
    <w:rsid w:val="2B6905E2"/>
    <w:rsid w:val="2B787F93"/>
    <w:rsid w:val="2B7F2768"/>
    <w:rsid w:val="2B872DFD"/>
    <w:rsid w:val="2B8C5B62"/>
    <w:rsid w:val="2B95652D"/>
    <w:rsid w:val="2BB862AB"/>
    <w:rsid w:val="2BCA40B8"/>
    <w:rsid w:val="2BD8795C"/>
    <w:rsid w:val="2BDE4C0D"/>
    <w:rsid w:val="2BEB3503"/>
    <w:rsid w:val="2C002CD7"/>
    <w:rsid w:val="2C0C6277"/>
    <w:rsid w:val="2C1230B4"/>
    <w:rsid w:val="2C2A789F"/>
    <w:rsid w:val="2C2B6321"/>
    <w:rsid w:val="2C3F7AA6"/>
    <w:rsid w:val="2C4A2CA8"/>
    <w:rsid w:val="2C893726"/>
    <w:rsid w:val="2C8C3B3B"/>
    <w:rsid w:val="2CBE0FE5"/>
    <w:rsid w:val="2CD421F5"/>
    <w:rsid w:val="2CE260A0"/>
    <w:rsid w:val="2CE40D33"/>
    <w:rsid w:val="2CE55EA5"/>
    <w:rsid w:val="2CEA06D6"/>
    <w:rsid w:val="2CF94CAE"/>
    <w:rsid w:val="2CFE7875"/>
    <w:rsid w:val="2D0A2FE2"/>
    <w:rsid w:val="2D132E97"/>
    <w:rsid w:val="2D4A530D"/>
    <w:rsid w:val="2D7960D4"/>
    <w:rsid w:val="2DB82757"/>
    <w:rsid w:val="2DBC6314"/>
    <w:rsid w:val="2DCA7120"/>
    <w:rsid w:val="2DD35B9A"/>
    <w:rsid w:val="2DDA4902"/>
    <w:rsid w:val="2DDB6427"/>
    <w:rsid w:val="2DEE7EE0"/>
    <w:rsid w:val="2DF43EC6"/>
    <w:rsid w:val="2E0233F6"/>
    <w:rsid w:val="2E0B51CE"/>
    <w:rsid w:val="2E3629B9"/>
    <w:rsid w:val="2E365904"/>
    <w:rsid w:val="2E5E4C84"/>
    <w:rsid w:val="2E744536"/>
    <w:rsid w:val="2E80281E"/>
    <w:rsid w:val="2E84510E"/>
    <w:rsid w:val="2E906C6A"/>
    <w:rsid w:val="2EDA7DEA"/>
    <w:rsid w:val="2EE05970"/>
    <w:rsid w:val="2EFF22D7"/>
    <w:rsid w:val="2EFF5C8D"/>
    <w:rsid w:val="2F203705"/>
    <w:rsid w:val="2F221901"/>
    <w:rsid w:val="2F59261C"/>
    <w:rsid w:val="2F5A388C"/>
    <w:rsid w:val="2F6F508B"/>
    <w:rsid w:val="2F774F21"/>
    <w:rsid w:val="2F7E7FC8"/>
    <w:rsid w:val="2F9C5ABB"/>
    <w:rsid w:val="2FCF542F"/>
    <w:rsid w:val="2FF67FFC"/>
    <w:rsid w:val="2FFB2C08"/>
    <w:rsid w:val="300D43E9"/>
    <w:rsid w:val="301D4407"/>
    <w:rsid w:val="30214BBF"/>
    <w:rsid w:val="302E1315"/>
    <w:rsid w:val="304C23A9"/>
    <w:rsid w:val="305D53E6"/>
    <w:rsid w:val="30646380"/>
    <w:rsid w:val="306B018C"/>
    <w:rsid w:val="308D7E77"/>
    <w:rsid w:val="30921D9F"/>
    <w:rsid w:val="30975464"/>
    <w:rsid w:val="30A569A0"/>
    <w:rsid w:val="30A90B71"/>
    <w:rsid w:val="30B2600E"/>
    <w:rsid w:val="30C568EE"/>
    <w:rsid w:val="30D20DDE"/>
    <w:rsid w:val="30DF759C"/>
    <w:rsid w:val="30EB5633"/>
    <w:rsid w:val="30F07047"/>
    <w:rsid w:val="30F65992"/>
    <w:rsid w:val="30F86F51"/>
    <w:rsid w:val="31000152"/>
    <w:rsid w:val="31182A7A"/>
    <w:rsid w:val="313C0535"/>
    <w:rsid w:val="31640FB9"/>
    <w:rsid w:val="3167435A"/>
    <w:rsid w:val="318B0625"/>
    <w:rsid w:val="31913016"/>
    <w:rsid w:val="319E1117"/>
    <w:rsid w:val="31A8333A"/>
    <w:rsid w:val="31B5641E"/>
    <w:rsid w:val="31B94798"/>
    <w:rsid w:val="31C04696"/>
    <w:rsid w:val="31CC6FEC"/>
    <w:rsid w:val="31D95767"/>
    <w:rsid w:val="31F67765"/>
    <w:rsid w:val="31F70C18"/>
    <w:rsid w:val="31FA2764"/>
    <w:rsid w:val="322A3319"/>
    <w:rsid w:val="323E1AF9"/>
    <w:rsid w:val="32644A5D"/>
    <w:rsid w:val="327056DE"/>
    <w:rsid w:val="327676C1"/>
    <w:rsid w:val="32792769"/>
    <w:rsid w:val="32891A12"/>
    <w:rsid w:val="328B5299"/>
    <w:rsid w:val="329171A4"/>
    <w:rsid w:val="329A3132"/>
    <w:rsid w:val="32A76867"/>
    <w:rsid w:val="32B77A77"/>
    <w:rsid w:val="32CF2DB8"/>
    <w:rsid w:val="32D208D6"/>
    <w:rsid w:val="32EB6806"/>
    <w:rsid w:val="33274809"/>
    <w:rsid w:val="332D4544"/>
    <w:rsid w:val="333423E4"/>
    <w:rsid w:val="333F66A2"/>
    <w:rsid w:val="3362342A"/>
    <w:rsid w:val="33737409"/>
    <w:rsid w:val="33743845"/>
    <w:rsid w:val="3388187C"/>
    <w:rsid w:val="339921A6"/>
    <w:rsid w:val="33996E68"/>
    <w:rsid w:val="33EE459C"/>
    <w:rsid w:val="341739EB"/>
    <w:rsid w:val="342767C8"/>
    <w:rsid w:val="34604248"/>
    <w:rsid w:val="34616D59"/>
    <w:rsid w:val="34751464"/>
    <w:rsid w:val="3481199E"/>
    <w:rsid w:val="3485572E"/>
    <w:rsid w:val="34B134E6"/>
    <w:rsid w:val="34C803F0"/>
    <w:rsid w:val="34CB1C65"/>
    <w:rsid w:val="34F2788D"/>
    <w:rsid w:val="35133839"/>
    <w:rsid w:val="35237C4A"/>
    <w:rsid w:val="35414406"/>
    <w:rsid w:val="35507996"/>
    <w:rsid w:val="3585660B"/>
    <w:rsid w:val="359A0D12"/>
    <w:rsid w:val="35B119A9"/>
    <w:rsid w:val="35CA3EDC"/>
    <w:rsid w:val="35DA073E"/>
    <w:rsid w:val="35DD4E33"/>
    <w:rsid w:val="35EB057F"/>
    <w:rsid w:val="35EB75DE"/>
    <w:rsid w:val="35FE1272"/>
    <w:rsid w:val="36067C97"/>
    <w:rsid w:val="360D1637"/>
    <w:rsid w:val="36206C8F"/>
    <w:rsid w:val="36281DB5"/>
    <w:rsid w:val="363216C1"/>
    <w:rsid w:val="36332CE7"/>
    <w:rsid w:val="36604B66"/>
    <w:rsid w:val="367045C8"/>
    <w:rsid w:val="367B25A8"/>
    <w:rsid w:val="368679E5"/>
    <w:rsid w:val="3688274B"/>
    <w:rsid w:val="36C02FF7"/>
    <w:rsid w:val="36CA7F2A"/>
    <w:rsid w:val="36DB7A61"/>
    <w:rsid w:val="36FB09A5"/>
    <w:rsid w:val="370226B4"/>
    <w:rsid w:val="37093708"/>
    <w:rsid w:val="37594801"/>
    <w:rsid w:val="376003D4"/>
    <w:rsid w:val="37636B43"/>
    <w:rsid w:val="37681212"/>
    <w:rsid w:val="37785686"/>
    <w:rsid w:val="379F473B"/>
    <w:rsid w:val="37AD6A06"/>
    <w:rsid w:val="37CB3718"/>
    <w:rsid w:val="38293A39"/>
    <w:rsid w:val="384958B5"/>
    <w:rsid w:val="384A5573"/>
    <w:rsid w:val="38910294"/>
    <w:rsid w:val="389F2F6D"/>
    <w:rsid w:val="38A305DA"/>
    <w:rsid w:val="38A56B38"/>
    <w:rsid w:val="38BF525C"/>
    <w:rsid w:val="38C6723D"/>
    <w:rsid w:val="38C97C11"/>
    <w:rsid w:val="38DC5F7A"/>
    <w:rsid w:val="38E93E86"/>
    <w:rsid w:val="391A3BD6"/>
    <w:rsid w:val="391D747F"/>
    <w:rsid w:val="392B76CE"/>
    <w:rsid w:val="392D3479"/>
    <w:rsid w:val="393865B1"/>
    <w:rsid w:val="393C2F23"/>
    <w:rsid w:val="3947557B"/>
    <w:rsid w:val="39503A21"/>
    <w:rsid w:val="395A442D"/>
    <w:rsid w:val="396B1E3D"/>
    <w:rsid w:val="397C1E5A"/>
    <w:rsid w:val="39995FDC"/>
    <w:rsid w:val="39A5358A"/>
    <w:rsid w:val="39E16B68"/>
    <w:rsid w:val="39E52A51"/>
    <w:rsid w:val="3A0258C2"/>
    <w:rsid w:val="3A242913"/>
    <w:rsid w:val="3A2862F3"/>
    <w:rsid w:val="3A2E4733"/>
    <w:rsid w:val="3A4E7C1D"/>
    <w:rsid w:val="3A577E1C"/>
    <w:rsid w:val="3A856B3B"/>
    <w:rsid w:val="3AA92C9E"/>
    <w:rsid w:val="3ACB28F1"/>
    <w:rsid w:val="3B017066"/>
    <w:rsid w:val="3B022731"/>
    <w:rsid w:val="3B1604D7"/>
    <w:rsid w:val="3B25725E"/>
    <w:rsid w:val="3B5629C7"/>
    <w:rsid w:val="3B6708E9"/>
    <w:rsid w:val="3B686276"/>
    <w:rsid w:val="3B6C705D"/>
    <w:rsid w:val="3B6E58EE"/>
    <w:rsid w:val="3BAC30C3"/>
    <w:rsid w:val="3C00183E"/>
    <w:rsid w:val="3C055124"/>
    <w:rsid w:val="3C41308E"/>
    <w:rsid w:val="3C435AD0"/>
    <w:rsid w:val="3C6010B4"/>
    <w:rsid w:val="3C7429EB"/>
    <w:rsid w:val="3C775C45"/>
    <w:rsid w:val="3C784338"/>
    <w:rsid w:val="3C9A23A2"/>
    <w:rsid w:val="3CA706D8"/>
    <w:rsid w:val="3CB14529"/>
    <w:rsid w:val="3CBA0AB4"/>
    <w:rsid w:val="3CE074E0"/>
    <w:rsid w:val="3D213CED"/>
    <w:rsid w:val="3D3266E6"/>
    <w:rsid w:val="3D387D29"/>
    <w:rsid w:val="3D3D6B86"/>
    <w:rsid w:val="3D577070"/>
    <w:rsid w:val="3D5D3C40"/>
    <w:rsid w:val="3D6077E8"/>
    <w:rsid w:val="3D725865"/>
    <w:rsid w:val="3D990EB8"/>
    <w:rsid w:val="3DA541EC"/>
    <w:rsid w:val="3DA9265A"/>
    <w:rsid w:val="3DB8427F"/>
    <w:rsid w:val="3DBB1F74"/>
    <w:rsid w:val="3DC273F6"/>
    <w:rsid w:val="3DF63CFF"/>
    <w:rsid w:val="3E333D2B"/>
    <w:rsid w:val="3E542A87"/>
    <w:rsid w:val="3E584BB6"/>
    <w:rsid w:val="3E6358A8"/>
    <w:rsid w:val="3E816973"/>
    <w:rsid w:val="3E83041B"/>
    <w:rsid w:val="3EAD5470"/>
    <w:rsid w:val="3EB926F6"/>
    <w:rsid w:val="3ED742B3"/>
    <w:rsid w:val="3EE03335"/>
    <w:rsid w:val="3EF27B6B"/>
    <w:rsid w:val="3EF32F85"/>
    <w:rsid w:val="3F07063C"/>
    <w:rsid w:val="3F07069E"/>
    <w:rsid w:val="3F0E7FEA"/>
    <w:rsid w:val="3F1C518B"/>
    <w:rsid w:val="3F223602"/>
    <w:rsid w:val="3F29435F"/>
    <w:rsid w:val="3F3303AB"/>
    <w:rsid w:val="3F5B35C4"/>
    <w:rsid w:val="3F5E6E14"/>
    <w:rsid w:val="3F916B9A"/>
    <w:rsid w:val="3F9B298B"/>
    <w:rsid w:val="3FAA3376"/>
    <w:rsid w:val="3FBF2E4B"/>
    <w:rsid w:val="3FCB5686"/>
    <w:rsid w:val="3FD24DC5"/>
    <w:rsid w:val="3FDE0EA9"/>
    <w:rsid w:val="3FE10C68"/>
    <w:rsid w:val="3FE854C7"/>
    <w:rsid w:val="40032E6B"/>
    <w:rsid w:val="40261640"/>
    <w:rsid w:val="4026498A"/>
    <w:rsid w:val="402C7723"/>
    <w:rsid w:val="405F45DE"/>
    <w:rsid w:val="406E1884"/>
    <w:rsid w:val="406F1FD6"/>
    <w:rsid w:val="408F4F9A"/>
    <w:rsid w:val="409B18FA"/>
    <w:rsid w:val="40AF78C0"/>
    <w:rsid w:val="40E11B67"/>
    <w:rsid w:val="40E23A8D"/>
    <w:rsid w:val="40E943C9"/>
    <w:rsid w:val="40ED1B52"/>
    <w:rsid w:val="4107549A"/>
    <w:rsid w:val="411B1692"/>
    <w:rsid w:val="416C0EE8"/>
    <w:rsid w:val="416D31D7"/>
    <w:rsid w:val="41915F98"/>
    <w:rsid w:val="41A812F6"/>
    <w:rsid w:val="41AD7310"/>
    <w:rsid w:val="41B64F8A"/>
    <w:rsid w:val="41DF49E9"/>
    <w:rsid w:val="41F7511B"/>
    <w:rsid w:val="41FD5C18"/>
    <w:rsid w:val="420D3C8B"/>
    <w:rsid w:val="42180F04"/>
    <w:rsid w:val="42354330"/>
    <w:rsid w:val="42361667"/>
    <w:rsid w:val="42397EFC"/>
    <w:rsid w:val="42523746"/>
    <w:rsid w:val="42551A3C"/>
    <w:rsid w:val="42614C53"/>
    <w:rsid w:val="426507F6"/>
    <w:rsid w:val="42684A6A"/>
    <w:rsid w:val="426A72BB"/>
    <w:rsid w:val="426C65A6"/>
    <w:rsid w:val="42AC46CD"/>
    <w:rsid w:val="42AE7835"/>
    <w:rsid w:val="42B40E3B"/>
    <w:rsid w:val="42D73BFC"/>
    <w:rsid w:val="42DC41BD"/>
    <w:rsid w:val="43035E13"/>
    <w:rsid w:val="431E5889"/>
    <w:rsid w:val="432D75A4"/>
    <w:rsid w:val="43325802"/>
    <w:rsid w:val="433552D8"/>
    <w:rsid w:val="43442CC3"/>
    <w:rsid w:val="43604A71"/>
    <w:rsid w:val="43684C4A"/>
    <w:rsid w:val="437C1DF3"/>
    <w:rsid w:val="438635A9"/>
    <w:rsid w:val="43A063FC"/>
    <w:rsid w:val="43A37F35"/>
    <w:rsid w:val="43AA5825"/>
    <w:rsid w:val="43CD28A9"/>
    <w:rsid w:val="44066470"/>
    <w:rsid w:val="440F2C5F"/>
    <w:rsid w:val="44153794"/>
    <w:rsid w:val="44177650"/>
    <w:rsid w:val="44395A5B"/>
    <w:rsid w:val="44467C67"/>
    <w:rsid w:val="445E775D"/>
    <w:rsid w:val="4466644B"/>
    <w:rsid w:val="447A0769"/>
    <w:rsid w:val="447D1BF8"/>
    <w:rsid w:val="447E2CFF"/>
    <w:rsid w:val="44836355"/>
    <w:rsid w:val="448C27DF"/>
    <w:rsid w:val="449D6384"/>
    <w:rsid w:val="44A42BFD"/>
    <w:rsid w:val="44B41685"/>
    <w:rsid w:val="44C57106"/>
    <w:rsid w:val="44E83EAF"/>
    <w:rsid w:val="44E87AC5"/>
    <w:rsid w:val="44EC71A2"/>
    <w:rsid w:val="44ED5339"/>
    <w:rsid w:val="4504692A"/>
    <w:rsid w:val="450A5D95"/>
    <w:rsid w:val="450C015C"/>
    <w:rsid w:val="4517608E"/>
    <w:rsid w:val="451F436A"/>
    <w:rsid w:val="45220625"/>
    <w:rsid w:val="4523285F"/>
    <w:rsid w:val="45276CB3"/>
    <w:rsid w:val="4541195C"/>
    <w:rsid w:val="45446983"/>
    <w:rsid w:val="454919FA"/>
    <w:rsid w:val="45617142"/>
    <w:rsid w:val="456A712B"/>
    <w:rsid w:val="45842DB1"/>
    <w:rsid w:val="45982005"/>
    <w:rsid w:val="459845B5"/>
    <w:rsid w:val="45AB318B"/>
    <w:rsid w:val="45C17628"/>
    <w:rsid w:val="45CC73B5"/>
    <w:rsid w:val="45CE6BD7"/>
    <w:rsid w:val="45E31A87"/>
    <w:rsid w:val="45EB2A11"/>
    <w:rsid w:val="45EE5B59"/>
    <w:rsid w:val="45F03B04"/>
    <w:rsid w:val="45F8316E"/>
    <w:rsid w:val="46183452"/>
    <w:rsid w:val="46376D96"/>
    <w:rsid w:val="463B1C36"/>
    <w:rsid w:val="463C3EBA"/>
    <w:rsid w:val="46605E83"/>
    <w:rsid w:val="4683321F"/>
    <w:rsid w:val="46975830"/>
    <w:rsid w:val="46AA66F6"/>
    <w:rsid w:val="46AB2A5E"/>
    <w:rsid w:val="46BE0518"/>
    <w:rsid w:val="46C3480F"/>
    <w:rsid w:val="46D759AF"/>
    <w:rsid w:val="46E57697"/>
    <w:rsid w:val="46F762A8"/>
    <w:rsid w:val="470B2C36"/>
    <w:rsid w:val="47110757"/>
    <w:rsid w:val="47137418"/>
    <w:rsid w:val="471A148C"/>
    <w:rsid w:val="47376B6D"/>
    <w:rsid w:val="475659FC"/>
    <w:rsid w:val="475B6389"/>
    <w:rsid w:val="475B7F54"/>
    <w:rsid w:val="47785A36"/>
    <w:rsid w:val="478F4F39"/>
    <w:rsid w:val="47A34E03"/>
    <w:rsid w:val="47AC263B"/>
    <w:rsid w:val="47DE16CB"/>
    <w:rsid w:val="47F70DA4"/>
    <w:rsid w:val="48036C85"/>
    <w:rsid w:val="48390EFD"/>
    <w:rsid w:val="483D0914"/>
    <w:rsid w:val="48581351"/>
    <w:rsid w:val="4859103C"/>
    <w:rsid w:val="48612214"/>
    <w:rsid w:val="487E098C"/>
    <w:rsid w:val="488B15E4"/>
    <w:rsid w:val="48A90147"/>
    <w:rsid w:val="48BB3C83"/>
    <w:rsid w:val="48D8430A"/>
    <w:rsid w:val="48D947AB"/>
    <w:rsid w:val="48EE7DE6"/>
    <w:rsid w:val="49083C3B"/>
    <w:rsid w:val="49467816"/>
    <w:rsid w:val="49606743"/>
    <w:rsid w:val="49874294"/>
    <w:rsid w:val="49AE680A"/>
    <w:rsid w:val="49AF00F8"/>
    <w:rsid w:val="49AF4F87"/>
    <w:rsid w:val="49C90D19"/>
    <w:rsid w:val="49D06052"/>
    <w:rsid w:val="49D564FC"/>
    <w:rsid w:val="49F83244"/>
    <w:rsid w:val="4A0337D0"/>
    <w:rsid w:val="4A1472A7"/>
    <w:rsid w:val="4A1C36F0"/>
    <w:rsid w:val="4A245C12"/>
    <w:rsid w:val="4A364935"/>
    <w:rsid w:val="4A5565CC"/>
    <w:rsid w:val="4A6E5D34"/>
    <w:rsid w:val="4A9E0EA3"/>
    <w:rsid w:val="4A9E3829"/>
    <w:rsid w:val="4AAA5CF9"/>
    <w:rsid w:val="4AD8461E"/>
    <w:rsid w:val="4ADC70F6"/>
    <w:rsid w:val="4B0962F4"/>
    <w:rsid w:val="4B1423EB"/>
    <w:rsid w:val="4B2023D6"/>
    <w:rsid w:val="4B244E31"/>
    <w:rsid w:val="4B25545D"/>
    <w:rsid w:val="4B5659F8"/>
    <w:rsid w:val="4B6513BA"/>
    <w:rsid w:val="4B652551"/>
    <w:rsid w:val="4B731F9A"/>
    <w:rsid w:val="4B7E0F86"/>
    <w:rsid w:val="4B8A1E44"/>
    <w:rsid w:val="4BA279B2"/>
    <w:rsid w:val="4BA62668"/>
    <w:rsid w:val="4BA80BDD"/>
    <w:rsid w:val="4BB463B7"/>
    <w:rsid w:val="4BB92D53"/>
    <w:rsid w:val="4BC56A22"/>
    <w:rsid w:val="4BCD2955"/>
    <w:rsid w:val="4BCF4D2C"/>
    <w:rsid w:val="4BCF68EB"/>
    <w:rsid w:val="4BEE0597"/>
    <w:rsid w:val="4C046577"/>
    <w:rsid w:val="4C091419"/>
    <w:rsid w:val="4C127573"/>
    <w:rsid w:val="4C1963A2"/>
    <w:rsid w:val="4C28225D"/>
    <w:rsid w:val="4C3D7FBE"/>
    <w:rsid w:val="4C3E35F6"/>
    <w:rsid w:val="4C492634"/>
    <w:rsid w:val="4C76253A"/>
    <w:rsid w:val="4C8C7FFD"/>
    <w:rsid w:val="4CAD692E"/>
    <w:rsid w:val="4CDD099E"/>
    <w:rsid w:val="4CDE6E9D"/>
    <w:rsid w:val="4CE53D8D"/>
    <w:rsid w:val="4CF90981"/>
    <w:rsid w:val="4D0443EE"/>
    <w:rsid w:val="4D1A0C48"/>
    <w:rsid w:val="4D2B3EF2"/>
    <w:rsid w:val="4D544214"/>
    <w:rsid w:val="4D5B60DB"/>
    <w:rsid w:val="4D87213C"/>
    <w:rsid w:val="4D8D0459"/>
    <w:rsid w:val="4DAE0029"/>
    <w:rsid w:val="4DAF713A"/>
    <w:rsid w:val="4DBF55AE"/>
    <w:rsid w:val="4DC15434"/>
    <w:rsid w:val="4DE00C8C"/>
    <w:rsid w:val="4DE365D6"/>
    <w:rsid w:val="4DE64A3E"/>
    <w:rsid w:val="4DF05BDC"/>
    <w:rsid w:val="4E044D64"/>
    <w:rsid w:val="4E1433FE"/>
    <w:rsid w:val="4E335ED3"/>
    <w:rsid w:val="4E522872"/>
    <w:rsid w:val="4E55174F"/>
    <w:rsid w:val="4E593C28"/>
    <w:rsid w:val="4E6114E1"/>
    <w:rsid w:val="4E637E4A"/>
    <w:rsid w:val="4E654263"/>
    <w:rsid w:val="4E95606D"/>
    <w:rsid w:val="4EA30D58"/>
    <w:rsid w:val="4EB73D3D"/>
    <w:rsid w:val="4EBB0507"/>
    <w:rsid w:val="4EE50EB5"/>
    <w:rsid w:val="4EE56679"/>
    <w:rsid w:val="4F067875"/>
    <w:rsid w:val="4F082176"/>
    <w:rsid w:val="4F25552F"/>
    <w:rsid w:val="4F482A50"/>
    <w:rsid w:val="4F4F7442"/>
    <w:rsid w:val="4F502642"/>
    <w:rsid w:val="4F566DEA"/>
    <w:rsid w:val="4F5B10E8"/>
    <w:rsid w:val="4F643A47"/>
    <w:rsid w:val="4F647E75"/>
    <w:rsid w:val="4F6C175A"/>
    <w:rsid w:val="4F8C3F79"/>
    <w:rsid w:val="4F9D236C"/>
    <w:rsid w:val="4FB21FF7"/>
    <w:rsid w:val="4FE200FD"/>
    <w:rsid w:val="4FE45173"/>
    <w:rsid w:val="4FE63DCA"/>
    <w:rsid w:val="4FF3279F"/>
    <w:rsid w:val="4FF82F5A"/>
    <w:rsid w:val="500F1DC2"/>
    <w:rsid w:val="50191C0C"/>
    <w:rsid w:val="501D6225"/>
    <w:rsid w:val="50216175"/>
    <w:rsid w:val="502B6332"/>
    <w:rsid w:val="502C3762"/>
    <w:rsid w:val="503851DE"/>
    <w:rsid w:val="50391778"/>
    <w:rsid w:val="503C123E"/>
    <w:rsid w:val="506643CF"/>
    <w:rsid w:val="506E52CF"/>
    <w:rsid w:val="506F1881"/>
    <w:rsid w:val="50843A71"/>
    <w:rsid w:val="508E627F"/>
    <w:rsid w:val="509172FE"/>
    <w:rsid w:val="509B7E76"/>
    <w:rsid w:val="50B563E5"/>
    <w:rsid w:val="50C85313"/>
    <w:rsid w:val="50E64FF5"/>
    <w:rsid w:val="50F6581E"/>
    <w:rsid w:val="510D1B2B"/>
    <w:rsid w:val="512972E5"/>
    <w:rsid w:val="512A22CB"/>
    <w:rsid w:val="512D1CF1"/>
    <w:rsid w:val="51461490"/>
    <w:rsid w:val="517369B4"/>
    <w:rsid w:val="518D0AD7"/>
    <w:rsid w:val="51A81683"/>
    <w:rsid w:val="51E0435A"/>
    <w:rsid w:val="51E160F5"/>
    <w:rsid w:val="51E2101A"/>
    <w:rsid w:val="51F74B27"/>
    <w:rsid w:val="51F8687B"/>
    <w:rsid w:val="521161B9"/>
    <w:rsid w:val="52207F12"/>
    <w:rsid w:val="522D1A96"/>
    <w:rsid w:val="52331872"/>
    <w:rsid w:val="523B23BB"/>
    <w:rsid w:val="52585DAB"/>
    <w:rsid w:val="52626145"/>
    <w:rsid w:val="52754F27"/>
    <w:rsid w:val="5276757A"/>
    <w:rsid w:val="528115C0"/>
    <w:rsid w:val="528920D6"/>
    <w:rsid w:val="52A0325A"/>
    <w:rsid w:val="52C70FFD"/>
    <w:rsid w:val="52D11AA9"/>
    <w:rsid w:val="52F2307C"/>
    <w:rsid w:val="530A5C1B"/>
    <w:rsid w:val="531859F4"/>
    <w:rsid w:val="531F0BA9"/>
    <w:rsid w:val="53441FCB"/>
    <w:rsid w:val="534A15CA"/>
    <w:rsid w:val="53825960"/>
    <w:rsid w:val="53924658"/>
    <w:rsid w:val="53EE0291"/>
    <w:rsid w:val="53F73833"/>
    <w:rsid w:val="53F922BD"/>
    <w:rsid w:val="54086FD0"/>
    <w:rsid w:val="54091D2A"/>
    <w:rsid w:val="541124DC"/>
    <w:rsid w:val="542D1F18"/>
    <w:rsid w:val="543C5D8C"/>
    <w:rsid w:val="544416F8"/>
    <w:rsid w:val="548444F6"/>
    <w:rsid w:val="548A6498"/>
    <w:rsid w:val="54B10F89"/>
    <w:rsid w:val="54B12E6B"/>
    <w:rsid w:val="54D53A2B"/>
    <w:rsid w:val="54F82C9E"/>
    <w:rsid w:val="55014A35"/>
    <w:rsid w:val="5507770D"/>
    <w:rsid w:val="5522523F"/>
    <w:rsid w:val="553F2034"/>
    <w:rsid w:val="555705F8"/>
    <w:rsid w:val="55625B8A"/>
    <w:rsid w:val="556740F6"/>
    <w:rsid w:val="5570548C"/>
    <w:rsid w:val="557F2593"/>
    <w:rsid w:val="558305CA"/>
    <w:rsid w:val="558777EA"/>
    <w:rsid w:val="55921A94"/>
    <w:rsid w:val="559249E4"/>
    <w:rsid w:val="55E555FF"/>
    <w:rsid w:val="55FA1AFA"/>
    <w:rsid w:val="56033509"/>
    <w:rsid w:val="561A08CB"/>
    <w:rsid w:val="561C2447"/>
    <w:rsid w:val="56265562"/>
    <w:rsid w:val="562A0BE8"/>
    <w:rsid w:val="562D3E6A"/>
    <w:rsid w:val="563A11EE"/>
    <w:rsid w:val="56470ADB"/>
    <w:rsid w:val="565D4480"/>
    <w:rsid w:val="566E0407"/>
    <w:rsid w:val="56711CED"/>
    <w:rsid w:val="567356AE"/>
    <w:rsid w:val="56754400"/>
    <w:rsid w:val="567676A7"/>
    <w:rsid w:val="56843140"/>
    <w:rsid w:val="56BB2BAA"/>
    <w:rsid w:val="56C9614A"/>
    <w:rsid w:val="56D6592E"/>
    <w:rsid w:val="56D875B1"/>
    <w:rsid w:val="56DD62BE"/>
    <w:rsid w:val="56E232AC"/>
    <w:rsid w:val="56E97016"/>
    <w:rsid w:val="56EE0E66"/>
    <w:rsid w:val="56F4696E"/>
    <w:rsid w:val="56FE7255"/>
    <w:rsid w:val="56FF69DE"/>
    <w:rsid w:val="571B05FB"/>
    <w:rsid w:val="5722388B"/>
    <w:rsid w:val="572933EC"/>
    <w:rsid w:val="5729519B"/>
    <w:rsid w:val="57307FB1"/>
    <w:rsid w:val="57563D6D"/>
    <w:rsid w:val="575C4940"/>
    <w:rsid w:val="57865979"/>
    <w:rsid w:val="578E302A"/>
    <w:rsid w:val="578F4C2C"/>
    <w:rsid w:val="57912F61"/>
    <w:rsid w:val="57974F99"/>
    <w:rsid w:val="57A62AC2"/>
    <w:rsid w:val="57B617A7"/>
    <w:rsid w:val="57BD2938"/>
    <w:rsid w:val="57BE374B"/>
    <w:rsid w:val="57D73AEB"/>
    <w:rsid w:val="57DC2A5A"/>
    <w:rsid w:val="57E1278C"/>
    <w:rsid w:val="57EE5F5D"/>
    <w:rsid w:val="57F138D5"/>
    <w:rsid w:val="58136D70"/>
    <w:rsid w:val="585F58BE"/>
    <w:rsid w:val="58695134"/>
    <w:rsid w:val="58756717"/>
    <w:rsid w:val="58756FC0"/>
    <w:rsid w:val="587801A2"/>
    <w:rsid w:val="58803E09"/>
    <w:rsid w:val="588A4958"/>
    <w:rsid w:val="58A72CD1"/>
    <w:rsid w:val="58AA5E3E"/>
    <w:rsid w:val="58B359E2"/>
    <w:rsid w:val="58D6348C"/>
    <w:rsid w:val="58E3204C"/>
    <w:rsid w:val="58ED5699"/>
    <w:rsid w:val="59140785"/>
    <w:rsid w:val="592638B2"/>
    <w:rsid w:val="593977DF"/>
    <w:rsid w:val="59464DE3"/>
    <w:rsid w:val="59503B9F"/>
    <w:rsid w:val="598C7634"/>
    <w:rsid w:val="59A17A9B"/>
    <w:rsid w:val="59E30002"/>
    <w:rsid w:val="59EF2A14"/>
    <w:rsid w:val="59EF300D"/>
    <w:rsid w:val="59F06E64"/>
    <w:rsid w:val="59F6220A"/>
    <w:rsid w:val="5A00358B"/>
    <w:rsid w:val="5A173F5E"/>
    <w:rsid w:val="5A1F0AD7"/>
    <w:rsid w:val="5A390C94"/>
    <w:rsid w:val="5A3E0AEF"/>
    <w:rsid w:val="5A767C77"/>
    <w:rsid w:val="5A786503"/>
    <w:rsid w:val="5AA801A1"/>
    <w:rsid w:val="5AAC2A64"/>
    <w:rsid w:val="5AB60700"/>
    <w:rsid w:val="5AB86944"/>
    <w:rsid w:val="5ABA544F"/>
    <w:rsid w:val="5AD86D6D"/>
    <w:rsid w:val="5ADB025D"/>
    <w:rsid w:val="5ADB0A4F"/>
    <w:rsid w:val="5ADF683C"/>
    <w:rsid w:val="5AEB4D36"/>
    <w:rsid w:val="5AFE2F03"/>
    <w:rsid w:val="5B223015"/>
    <w:rsid w:val="5B2C4875"/>
    <w:rsid w:val="5B590DC3"/>
    <w:rsid w:val="5B72374C"/>
    <w:rsid w:val="5B923EA2"/>
    <w:rsid w:val="5BA139C9"/>
    <w:rsid w:val="5BCB7728"/>
    <w:rsid w:val="5C065251"/>
    <w:rsid w:val="5C0954FD"/>
    <w:rsid w:val="5C0B4FFD"/>
    <w:rsid w:val="5C191A02"/>
    <w:rsid w:val="5C3D1EDA"/>
    <w:rsid w:val="5C462B2F"/>
    <w:rsid w:val="5C512B93"/>
    <w:rsid w:val="5C5523ED"/>
    <w:rsid w:val="5C5C3207"/>
    <w:rsid w:val="5C7456DC"/>
    <w:rsid w:val="5C772E8C"/>
    <w:rsid w:val="5C7F4330"/>
    <w:rsid w:val="5C847A29"/>
    <w:rsid w:val="5C8B4C54"/>
    <w:rsid w:val="5C8D5856"/>
    <w:rsid w:val="5CAB33C3"/>
    <w:rsid w:val="5CCB3B75"/>
    <w:rsid w:val="5CD32E45"/>
    <w:rsid w:val="5CDD092A"/>
    <w:rsid w:val="5CE12BFD"/>
    <w:rsid w:val="5CE35D11"/>
    <w:rsid w:val="5CF214D0"/>
    <w:rsid w:val="5CF43F75"/>
    <w:rsid w:val="5CF83A6F"/>
    <w:rsid w:val="5CFD62E7"/>
    <w:rsid w:val="5D04188D"/>
    <w:rsid w:val="5D1E1FF6"/>
    <w:rsid w:val="5D1F5ABC"/>
    <w:rsid w:val="5D537FE9"/>
    <w:rsid w:val="5D544199"/>
    <w:rsid w:val="5D5816F4"/>
    <w:rsid w:val="5D5D5E4B"/>
    <w:rsid w:val="5D7240AF"/>
    <w:rsid w:val="5D8613E6"/>
    <w:rsid w:val="5D8F2AA5"/>
    <w:rsid w:val="5D970623"/>
    <w:rsid w:val="5D990187"/>
    <w:rsid w:val="5D9B77AE"/>
    <w:rsid w:val="5D9F3B9A"/>
    <w:rsid w:val="5DC53080"/>
    <w:rsid w:val="5DCF4E7B"/>
    <w:rsid w:val="5DD215F4"/>
    <w:rsid w:val="5DDD45E0"/>
    <w:rsid w:val="5DE83AE5"/>
    <w:rsid w:val="5E026E27"/>
    <w:rsid w:val="5E073F7E"/>
    <w:rsid w:val="5E0C5DAC"/>
    <w:rsid w:val="5E236732"/>
    <w:rsid w:val="5E2C003B"/>
    <w:rsid w:val="5E316C41"/>
    <w:rsid w:val="5E515481"/>
    <w:rsid w:val="5E7941D7"/>
    <w:rsid w:val="5E8E615D"/>
    <w:rsid w:val="5EAC4417"/>
    <w:rsid w:val="5EE6792A"/>
    <w:rsid w:val="5F087B74"/>
    <w:rsid w:val="5F2045A5"/>
    <w:rsid w:val="5F5A29A3"/>
    <w:rsid w:val="5F5B13D8"/>
    <w:rsid w:val="5F7344C4"/>
    <w:rsid w:val="5F7B644A"/>
    <w:rsid w:val="5F95426D"/>
    <w:rsid w:val="5F9B4BE5"/>
    <w:rsid w:val="5FAA2AA1"/>
    <w:rsid w:val="5FB2524E"/>
    <w:rsid w:val="5FBA457B"/>
    <w:rsid w:val="5FC3491F"/>
    <w:rsid w:val="5FC61785"/>
    <w:rsid w:val="5FCC1E95"/>
    <w:rsid w:val="5FE40B22"/>
    <w:rsid w:val="6020751A"/>
    <w:rsid w:val="60352310"/>
    <w:rsid w:val="60413902"/>
    <w:rsid w:val="606E7AC3"/>
    <w:rsid w:val="60740CCA"/>
    <w:rsid w:val="60767A49"/>
    <w:rsid w:val="60A37B33"/>
    <w:rsid w:val="60A966D2"/>
    <w:rsid w:val="60D4683B"/>
    <w:rsid w:val="60D60121"/>
    <w:rsid w:val="60DB2A1B"/>
    <w:rsid w:val="60DF100F"/>
    <w:rsid w:val="60F961E2"/>
    <w:rsid w:val="610102FD"/>
    <w:rsid w:val="610F65CE"/>
    <w:rsid w:val="61342835"/>
    <w:rsid w:val="61356EBA"/>
    <w:rsid w:val="613F1748"/>
    <w:rsid w:val="61426FE3"/>
    <w:rsid w:val="61557570"/>
    <w:rsid w:val="61595F76"/>
    <w:rsid w:val="615E1C79"/>
    <w:rsid w:val="616518A7"/>
    <w:rsid w:val="61780082"/>
    <w:rsid w:val="61807462"/>
    <w:rsid w:val="6182209F"/>
    <w:rsid w:val="61B1231D"/>
    <w:rsid w:val="61B5531D"/>
    <w:rsid w:val="61BB17A5"/>
    <w:rsid w:val="61BE4E64"/>
    <w:rsid w:val="61C62BE7"/>
    <w:rsid w:val="61FB473A"/>
    <w:rsid w:val="620305D6"/>
    <w:rsid w:val="62066E18"/>
    <w:rsid w:val="621066ED"/>
    <w:rsid w:val="622357C6"/>
    <w:rsid w:val="62286936"/>
    <w:rsid w:val="622F3D03"/>
    <w:rsid w:val="623D0123"/>
    <w:rsid w:val="625E5C01"/>
    <w:rsid w:val="62734C72"/>
    <w:rsid w:val="627C6C6F"/>
    <w:rsid w:val="627E2A14"/>
    <w:rsid w:val="62854120"/>
    <w:rsid w:val="62947C66"/>
    <w:rsid w:val="62A96E59"/>
    <w:rsid w:val="62B828E4"/>
    <w:rsid w:val="62C3472E"/>
    <w:rsid w:val="62D173B8"/>
    <w:rsid w:val="62D6340C"/>
    <w:rsid w:val="62D86C28"/>
    <w:rsid w:val="62DA433B"/>
    <w:rsid w:val="62DC3F1D"/>
    <w:rsid w:val="62E37A3D"/>
    <w:rsid w:val="62E857E4"/>
    <w:rsid w:val="630140C7"/>
    <w:rsid w:val="6328656B"/>
    <w:rsid w:val="632D1A2A"/>
    <w:rsid w:val="633B6202"/>
    <w:rsid w:val="6355666A"/>
    <w:rsid w:val="636A7254"/>
    <w:rsid w:val="63702BCA"/>
    <w:rsid w:val="63A34DA6"/>
    <w:rsid w:val="63BD1770"/>
    <w:rsid w:val="63C533C6"/>
    <w:rsid w:val="63CA0987"/>
    <w:rsid w:val="63D04342"/>
    <w:rsid w:val="63D54347"/>
    <w:rsid w:val="640A667B"/>
    <w:rsid w:val="64277398"/>
    <w:rsid w:val="64322F51"/>
    <w:rsid w:val="64367945"/>
    <w:rsid w:val="643F4A8B"/>
    <w:rsid w:val="644B1BF7"/>
    <w:rsid w:val="644D4979"/>
    <w:rsid w:val="64544684"/>
    <w:rsid w:val="64545A53"/>
    <w:rsid w:val="6487038B"/>
    <w:rsid w:val="64955D21"/>
    <w:rsid w:val="649B0BCF"/>
    <w:rsid w:val="64D80021"/>
    <w:rsid w:val="64E5508A"/>
    <w:rsid w:val="64EE282A"/>
    <w:rsid w:val="64F6729B"/>
    <w:rsid w:val="65120982"/>
    <w:rsid w:val="652A50C0"/>
    <w:rsid w:val="65570E4D"/>
    <w:rsid w:val="656618F8"/>
    <w:rsid w:val="656C7427"/>
    <w:rsid w:val="65810FC2"/>
    <w:rsid w:val="658F1F74"/>
    <w:rsid w:val="65C2034F"/>
    <w:rsid w:val="65C82EF8"/>
    <w:rsid w:val="65DF60FE"/>
    <w:rsid w:val="6635247F"/>
    <w:rsid w:val="663F0F0B"/>
    <w:rsid w:val="6648747C"/>
    <w:rsid w:val="66531F75"/>
    <w:rsid w:val="666E2740"/>
    <w:rsid w:val="667310E1"/>
    <w:rsid w:val="667323A7"/>
    <w:rsid w:val="66882EBC"/>
    <w:rsid w:val="66996E48"/>
    <w:rsid w:val="66D77568"/>
    <w:rsid w:val="66DF7581"/>
    <w:rsid w:val="66E61B0B"/>
    <w:rsid w:val="66F237B4"/>
    <w:rsid w:val="673874CB"/>
    <w:rsid w:val="677002E5"/>
    <w:rsid w:val="67722E86"/>
    <w:rsid w:val="67967D3C"/>
    <w:rsid w:val="67AE04C4"/>
    <w:rsid w:val="67C220D1"/>
    <w:rsid w:val="67C44C16"/>
    <w:rsid w:val="67C60CEF"/>
    <w:rsid w:val="67C707FC"/>
    <w:rsid w:val="67C9223B"/>
    <w:rsid w:val="67D5472C"/>
    <w:rsid w:val="67F2016B"/>
    <w:rsid w:val="67FB5C5C"/>
    <w:rsid w:val="680E51AA"/>
    <w:rsid w:val="68155DDA"/>
    <w:rsid w:val="68182362"/>
    <w:rsid w:val="681938AD"/>
    <w:rsid w:val="681A448F"/>
    <w:rsid w:val="68393DC2"/>
    <w:rsid w:val="68531425"/>
    <w:rsid w:val="6856790D"/>
    <w:rsid w:val="685A632D"/>
    <w:rsid w:val="686C2E9D"/>
    <w:rsid w:val="68725FB8"/>
    <w:rsid w:val="687C01FA"/>
    <w:rsid w:val="689855D0"/>
    <w:rsid w:val="68B91667"/>
    <w:rsid w:val="68D223B8"/>
    <w:rsid w:val="68D6764C"/>
    <w:rsid w:val="68DB409A"/>
    <w:rsid w:val="68EC5C3D"/>
    <w:rsid w:val="69060D76"/>
    <w:rsid w:val="690618CA"/>
    <w:rsid w:val="69171032"/>
    <w:rsid w:val="69202E05"/>
    <w:rsid w:val="692456A8"/>
    <w:rsid w:val="69406C70"/>
    <w:rsid w:val="694D7CDA"/>
    <w:rsid w:val="69537617"/>
    <w:rsid w:val="697B1046"/>
    <w:rsid w:val="6988292C"/>
    <w:rsid w:val="69980E67"/>
    <w:rsid w:val="69983A6A"/>
    <w:rsid w:val="69AC5A39"/>
    <w:rsid w:val="69C43373"/>
    <w:rsid w:val="69C61E48"/>
    <w:rsid w:val="69E058E3"/>
    <w:rsid w:val="69E17D58"/>
    <w:rsid w:val="69F0378D"/>
    <w:rsid w:val="6A166501"/>
    <w:rsid w:val="6A262B31"/>
    <w:rsid w:val="6A4E4A8B"/>
    <w:rsid w:val="6A6B59D8"/>
    <w:rsid w:val="6A7B6CCA"/>
    <w:rsid w:val="6A8806F5"/>
    <w:rsid w:val="6A96538E"/>
    <w:rsid w:val="6A97438B"/>
    <w:rsid w:val="6AEB183A"/>
    <w:rsid w:val="6AF0685C"/>
    <w:rsid w:val="6AFB04FC"/>
    <w:rsid w:val="6B0F1D06"/>
    <w:rsid w:val="6B19621A"/>
    <w:rsid w:val="6B4F4A7E"/>
    <w:rsid w:val="6B693D6A"/>
    <w:rsid w:val="6B722B21"/>
    <w:rsid w:val="6B781926"/>
    <w:rsid w:val="6B8F70F9"/>
    <w:rsid w:val="6BA74EE5"/>
    <w:rsid w:val="6BB53A15"/>
    <w:rsid w:val="6BB5786A"/>
    <w:rsid w:val="6BC855F9"/>
    <w:rsid w:val="6BE045FB"/>
    <w:rsid w:val="6BE25CA9"/>
    <w:rsid w:val="6C2F732E"/>
    <w:rsid w:val="6C47388C"/>
    <w:rsid w:val="6C4E3628"/>
    <w:rsid w:val="6C636675"/>
    <w:rsid w:val="6C9C56F8"/>
    <w:rsid w:val="6CA6301E"/>
    <w:rsid w:val="6CC745DC"/>
    <w:rsid w:val="6CC94E3D"/>
    <w:rsid w:val="6CCD2638"/>
    <w:rsid w:val="6CD32B4F"/>
    <w:rsid w:val="6CDB1686"/>
    <w:rsid w:val="6CE94072"/>
    <w:rsid w:val="6CF553E6"/>
    <w:rsid w:val="6D0C4D16"/>
    <w:rsid w:val="6D293837"/>
    <w:rsid w:val="6D3A2B04"/>
    <w:rsid w:val="6D814977"/>
    <w:rsid w:val="6D961851"/>
    <w:rsid w:val="6DA51CFC"/>
    <w:rsid w:val="6DC07342"/>
    <w:rsid w:val="6DD733CD"/>
    <w:rsid w:val="6DD7683C"/>
    <w:rsid w:val="6DEA6380"/>
    <w:rsid w:val="6DF7647D"/>
    <w:rsid w:val="6E1261C0"/>
    <w:rsid w:val="6E2330C9"/>
    <w:rsid w:val="6E233C9E"/>
    <w:rsid w:val="6E28486E"/>
    <w:rsid w:val="6E2D26D1"/>
    <w:rsid w:val="6E561CE7"/>
    <w:rsid w:val="6E5F5E12"/>
    <w:rsid w:val="6E6F2921"/>
    <w:rsid w:val="6E7A59E8"/>
    <w:rsid w:val="6E8C49C9"/>
    <w:rsid w:val="6E927F34"/>
    <w:rsid w:val="6EA50EB8"/>
    <w:rsid w:val="6EA66991"/>
    <w:rsid w:val="6EAA765A"/>
    <w:rsid w:val="6EB646A5"/>
    <w:rsid w:val="6ECE5075"/>
    <w:rsid w:val="6ED112E7"/>
    <w:rsid w:val="6EF7274A"/>
    <w:rsid w:val="6F025709"/>
    <w:rsid w:val="6F0E3E89"/>
    <w:rsid w:val="6F1177D4"/>
    <w:rsid w:val="6F164083"/>
    <w:rsid w:val="6F1D34AF"/>
    <w:rsid w:val="6F3002B7"/>
    <w:rsid w:val="6F345A50"/>
    <w:rsid w:val="6F481D2B"/>
    <w:rsid w:val="6F680312"/>
    <w:rsid w:val="6F763329"/>
    <w:rsid w:val="6F874A39"/>
    <w:rsid w:val="6F8B2801"/>
    <w:rsid w:val="6FA229DB"/>
    <w:rsid w:val="6FBB1B38"/>
    <w:rsid w:val="7003595E"/>
    <w:rsid w:val="700636ED"/>
    <w:rsid w:val="700E46F5"/>
    <w:rsid w:val="701A01D4"/>
    <w:rsid w:val="70321A93"/>
    <w:rsid w:val="70453FC1"/>
    <w:rsid w:val="70482C33"/>
    <w:rsid w:val="70483311"/>
    <w:rsid w:val="705B507C"/>
    <w:rsid w:val="70900C98"/>
    <w:rsid w:val="70A94D0A"/>
    <w:rsid w:val="70C85B81"/>
    <w:rsid w:val="70CC424B"/>
    <w:rsid w:val="70DE582C"/>
    <w:rsid w:val="70F367F7"/>
    <w:rsid w:val="70F77B87"/>
    <w:rsid w:val="71072188"/>
    <w:rsid w:val="7110056E"/>
    <w:rsid w:val="7122156C"/>
    <w:rsid w:val="71305C62"/>
    <w:rsid w:val="713C1D75"/>
    <w:rsid w:val="71466655"/>
    <w:rsid w:val="714E5A64"/>
    <w:rsid w:val="715B2F85"/>
    <w:rsid w:val="717B1874"/>
    <w:rsid w:val="719003CB"/>
    <w:rsid w:val="71911AC0"/>
    <w:rsid w:val="719F72DB"/>
    <w:rsid w:val="71BC116F"/>
    <w:rsid w:val="71C2310F"/>
    <w:rsid w:val="71CA79E1"/>
    <w:rsid w:val="71D4144C"/>
    <w:rsid w:val="71DF46FB"/>
    <w:rsid w:val="71E91606"/>
    <w:rsid w:val="71EC000E"/>
    <w:rsid w:val="721B1B75"/>
    <w:rsid w:val="723145CC"/>
    <w:rsid w:val="723E63F6"/>
    <w:rsid w:val="72400D24"/>
    <w:rsid w:val="72463593"/>
    <w:rsid w:val="725D497F"/>
    <w:rsid w:val="72632C6F"/>
    <w:rsid w:val="727D0E1A"/>
    <w:rsid w:val="72890924"/>
    <w:rsid w:val="729D2B27"/>
    <w:rsid w:val="72AB7E46"/>
    <w:rsid w:val="72B510EB"/>
    <w:rsid w:val="72B83B84"/>
    <w:rsid w:val="72BD2BDF"/>
    <w:rsid w:val="72CC5F4F"/>
    <w:rsid w:val="72D90C37"/>
    <w:rsid w:val="72EF496B"/>
    <w:rsid w:val="730A4643"/>
    <w:rsid w:val="73110925"/>
    <w:rsid w:val="73193898"/>
    <w:rsid w:val="731E465B"/>
    <w:rsid w:val="73254F12"/>
    <w:rsid w:val="732749B8"/>
    <w:rsid w:val="732C2078"/>
    <w:rsid w:val="732F19EF"/>
    <w:rsid w:val="734B7501"/>
    <w:rsid w:val="734C164B"/>
    <w:rsid w:val="73596B0C"/>
    <w:rsid w:val="7369701F"/>
    <w:rsid w:val="736C530C"/>
    <w:rsid w:val="73733932"/>
    <w:rsid w:val="73850462"/>
    <w:rsid w:val="738B48BB"/>
    <w:rsid w:val="73AD751D"/>
    <w:rsid w:val="73B265E6"/>
    <w:rsid w:val="73B357F7"/>
    <w:rsid w:val="73B47E00"/>
    <w:rsid w:val="73B91FBB"/>
    <w:rsid w:val="73C21530"/>
    <w:rsid w:val="73C463C4"/>
    <w:rsid w:val="73CC6273"/>
    <w:rsid w:val="73F43352"/>
    <w:rsid w:val="740A6954"/>
    <w:rsid w:val="74100EF0"/>
    <w:rsid w:val="74367EDE"/>
    <w:rsid w:val="7439037E"/>
    <w:rsid w:val="74391D53"/>
    <w:rsid w:val="747C1D3C"/>
    <w:rsid w:val="74842417"/>
    <w:rsid w:val="74A7334D"/>
    <w:rsid w:val="74B23746"/>
    <w:rsid w:val="74B43009"/>
    <w:rsid w:val="74EF3D10"/>
    <w:rsid w:val="74F24B09"/>
    <w:rsid w:val="74F24FA8"/>
    <w:rsid w:val="74FE6BC8"/>
    <w:rsid w:val="75040E6B"/>
    <w:rsid w:val="75304536"/>
    <w:rsid w:val="75405F09"/>
    <w:rsid w:val="75502B77"/>
    <w:rsid w:val="755752F2"/>
    <w:rsid w:val="75722E13"/>
    <w:rsid w:val="758852EC"/>
    <w:rsid w:val="75A43EDB"/>
    <w:rsid w:val="75A669FA"/>
    <w:rsid w:val="75B20AAA"/>
    <w:rsid w:val="75C538BB"/>
    <w:rsid w:val="75C73EB6"/>
    <w:rsid w:val="75CF1528"/>
    <w:rsid w:val="75D0208F"/>
    <w:rsid w:val="75D23FE2"/>
    <w:rsid w:val="75D7303D"/>
    <w:rsid w:val="76170A38"/>
    <w:rsid w:val="764912B3"/>
    <w:rsid w:val="764B74FE"/>
    <w:rsid w:val="76530926"/>
    <w:rsid w:val="76703FC1"/>
    <w:rsid w:val="7688316C"/>
    <w:rsid w:val="768D41F8"/>
    <w:rsid w:val="76996B66"/>
    <w:rsid w:val="76D37C8B"/>
    <w:rsid w:val="76D51666"/>
    <w:rsid w:val="76EA7D34"/>
    <w:rsid w:val="76EB3EC3"/>
    <w:rsid w:val="76ED76BF"/>
    <w:rsid w:val="76F0254C"/>
    <w:rsid w:val="76FC680F"/>
    <w:rsid w:val="772B0384"/>
    <w:rsid w:val="774A5A74"/>
    <w:rsid w:val="778B71C2"/>
    <w:rsid w:val="77945D84"/>
    <w:rsid w:val="77981B8E"/>
    <w:rsid w:val="7798718E"/>
    <w:rsid w:val="77A47A05"/>
    <w:rsid w:val="77D801AC"/>
    <w:rsid w:val="77D84B5E"/>
    <w:rsid w:val="77E35CDB"/>
    <w:rsid w:val="78061AF4"/>
    <w:rsid w:val="78211010"/>
    <w:rsid w:val="783F3BB0"/>
    <w:rsid w:val="78465A75"/>
    <w:rsid w:val="784F31E6"/>
    <w:rsid w:val="78606F11"/>
    <w:rsid w:val="78654DFE"/>
    <w:rsid w:val="78720FFC"/>
    <w:rsid w:val="78774C51"/>
    <w:rsid w:val="78804D6C"/>
    <w:rsid w:val="788834CE"/>
    <w:rsid w:val="78924D5B"/>
    <w:rsid w:val="7895799C"/>
    <w:rsid w:val="789638C8"/>
    <w:rsid w:val="78A95C09"/>
    <w:rsid w:val="78AA5341"/>
    <w:rsid w:val="78AD10D0"/>
    <w:rsid w:val="78AE2649"/>
    <w:rsid w:val="78AF0AA9"/>
    <w:rsid w:val="78BF43BD"/>
    <w:rsid w:val="78D17668"/>
    <w:rsid w:val="78E62A30"/>
    <w:rsid w:val="78EB651A"/>
    <w:rsid w:val="78F423A5"/>
    <w:rsid w:val="7918624B"/>
    <w:rsid w:val="791B6189"/>
    <w:rsid w:val="79283B63"/>
    <w:rsid w:val="79710C39"/>
    <w:rsid w:val="797B0C43"/>
    <w:rsid w:val="79830EBE"/>
    <w:rsid w:val="79831691"/>
    <w:rsid w:val="7994152C"/>
    <w:rsid w:val="7998317B"/>
    <w:rsid w:val="79F27101"/>
    <w:rsid w:val="79F31A3E"/>
    <w:rsid w:val="7A2A5DDA"/>
    <w:rsid w:val="7A2B522D"/>
    <w:rsid w:val="7A3C328C"/>
    <w:rsid w:val="7A426516"/>
    <w:rsid w:val="7A4820A1"/>
    <w:rsid w:val="7A487CB1"/>
    <w:rsid w:val="7A4F3CEE"/>
    <w:rsid w:val="7A507C38"/>
    <w:rsid w:val="7A6A3CE4"/>
    <w:rsid w:val="7A7D6341"/>
    <w:rsid w:val="7AA87AF3"/>
    <w:rsid w:val="7AAD3309"/>
    <w:rsid w:val="7ABA7172"/>
    <w:rsid w:val="7AC62379"/>
    <w:rsid w:val="7AD65290"/>
    <w:rsid w:val="7AE24841"/>
    <w:rsid w:val="7AF2003B"/>
    <w:rsid w:val="7AFD68D4"/>
    <w:rsid w:val="7B0069AA"/>
    <w:rsid w:val="7B041728"/>
    <w:rsid w:val="7B1F25C9"/>
    <w:rsid w:val="7B210B9F"/>
    <w:rsid w:val="7B3E3C51"/>
    <w:rsid w:val="7B426A56"/>
    <w:rsid w:val="7B4B41CC"/>
    <w:rsid w:val="7B4C5692"/>
    <w:rsid w:val="7B4E7B72"/>
    <w:rsid w:val="7B5362F9"/>
    <w:rsid w:val="7B6E155C"/>
    <w:rsid w:val="7B715B2A"/>
    <w:rsid w:val="7B8459B3"/>
    <w:rsid w:val="7B8732D3"/>
    <w:rsid w:val="7B972B2E"/>
    <w:rsid w:val="7B9C5D88"/>
    <w:rsid w:val="7B9D7C8E"/>
    <w:rsid w:val="7B9E4186"/>
    <w:rsid w:val="7B9E51C7"/>
    <w:rsid w:val="7BA41C48"/>
    <w:rsid w:val="7BA42FB9"/>
    <w:rsid w:val="7BA54FFB"/>
    <w:rsid w:val="7BA55B25"/>
    <w:rsid w:val="7BC472C7"/>
    <w:rsid w:val="7BCB0F6F"/>
    <w:rsid w:val="7BD91741"/>
    <w:rsid w:val="7BE1273B"/>
    <w:rsid w:val="7C0A64DD"/>
    <w:rsid w:val="7C107CB6"/>
    <w:rsid w:val="7C126318"/>
    <w:rsid w:val="7C1630BA"/>
    <w:rsid w:val="7C1A5B34"/>
    <w:rsid w:val="7C21127E"/>
    <w:rsid w:val="7C2338EB"/>
    <w:rsid w:val="7C255311"/>
    <w:rsid w:val="7C302734"/>
    <w:rsid w:val="7C3A377B"/>
    <w:rsid w:val="7C717FEF"/>
    <w:rsid w:val="7CC15654"/>
    <w:rsid w:val="7CC40553"/>
    <w:rsid w:val="7CC74D03"/>
    <w:rsid w:val="7CF6009C"/>
    <w:rsid w:val="7CFA4407"/>
    <w:rsid w:val="7CFF04CB"/>
    <w:rsid w:val="7D0842E9"/>
    <w:rsid w:val="7D087B09"/>
    <w:rsid w:val="7D0D3561"/>
    <w:rsid w:val="7D1200AD"/>
    <w:rsid w:val="7D13104C"/>
    <w:rsid w:val="7D16601A"/>
    <w:rsid w:val="7D240BE0"/>
    <w:rsid w:val="7D2C5633"/>
    <w:rsid w:val="7D2D0A73"/>
    <w:rsid w:val="7D55110E"/>
    <w:rsid w:val="7D753069"/>
    <w:rsid w:val="7D8B4EE0"/>
    <w:rsid w:val="7DA1651F"/>
    <w:rsid w:val="7DCA46DB"/>
    <w:rsid w:val="7DCB17CA"/>
    <w:rsid w:val="7DEF6AD1"/>
    <w:rsid w:val="7DFA3291"/>
    <w:rsid w:val="7DFE0E37"/>
    <w:rsid w:val="7E254CB3"/>
    <w:rsid w:val="7E70126A"/>
    <w:rsid w:val="7E704AE7"/>
    <w:rsid w:val="7E933E02"/>
    <w:rsid w:val="7EA36695"/>
    <w:rsid w:val="7EA74239"/>
    <w:rsid w:val="7EB372D2"/>
    <w:rsid w:val="7EB9332C"/>
    <w:rsid w:val="7EBA53B0"/>
    <w:rsid w:val="7EC64EED"/>
    <w:rsid w:val="7ECB46FA"/>
    <w:rsid w:val="7ED7269F"/>
    <w:rsid w:val="7F0716D8"/>
    <w:rsid w:val="7F080560"/>
    <w:rsid w:val="7F124118"/>
    <w:rsid w:val="7F4B7DB7"/>
    <w:rsid w:val="7F526664"/>
    <w:rsid w:val="7F5374F1"/>
    <w:rsid w:val="7F5B4A4E"/>
    <w:rsid w:val="7F600396"/>
    <w:rsid w:val="7F8A4120"/>
    <w:rsid w:val="7FAB7345"/>
    <w:rsid w:val="7FB87E27"/>
    <w:rsid w:val="7FC5366D"/>
    <w:rsid w:val="7FD87B25"/>
    <w:rsid w:val="7FE139B7"/>
    <w:rsid w:val="7FEF1C21"/>
    <w:rsid w:val="7FFB45A5"/>
    <w:rsid w:val="7FFB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99"/>
    <w:pPr>
      <w:ind w:firstLine="420" w:firstLineChars="200"/>
    </w:pPr>
    <w:rPr>
      <w:rFonts w:ascii="Times New Roman" w:hAnsi="Times New Roman" w:cs="Times New Roman"/>
    </w:rPr>
  </w:style>
  <w:style w:type="paragraph" w:styleId="4">
    <w:name w:val="Body Text"/>
    <w:basedOn w:val="1"/>
    <w:next w:val="5"/>
    <w:qFormat/>
    <w:uiPriority w:val="0"/>
    <w:pPr>
      <w:jc w:val="center"/>
    </w:pPr>
    <w:rPr>
      <w:rFonts w:ascii="宋体" w:hAnsi="宋体" w:eastAsia="宋体" w:cs="Times New Roman"/>
      <w:b/>
      <w:sz w:val="44"/>
      <w:szCs w:val="24"/>
    </w:rPr>
  </w:style>
  <w:style w:type="paragraph" w:styleId="5">
    <w:name w:val="toc 5"/>
    <w:basedOn w:val="1"/>
    <w:next w:val="1"/>
    <w:qFormat/>
    <w:uiPriority w:val="99"/>
    <w:pPr>
      <w:spacing w:before="100" w:beforeAutospacing="1" w:after="100" w:afterAutospacing="1"/>
      <w:ind w:left="1680"/>
    </w:pPr>
    <w:rPr>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Plain Text1"/>
    <w:basedOn w:val="1"/>
    <w:qFormat/>
    <w:uiPriority w:val="0"/>
    <w:rPr>
      <w:rFonts w:ascii="宋体" w:hAnsi="Courier New" w:cs="Courier New"/>
      <w:szCs w:val="21"/>
    </w:rPr>
  </w:style>
  <w:style w:type="paragraph" w:customStyle="1" w:styleId="14">
    <w:name w:val="正文1"/>
    <w:qFormat/>
    <w:uiPriority w:val="0"/>
    <w:pPr>
      <w:widowControl w:val="0"/>
      <w:jc w:val="both"/>
    </w:pPr>
    <w:rPr>
      <w:rFonts w:ascii="仿宋" w:hAnsi="仿宋" w:eastAsia="仿宋" w:cs="黑体"/>
      <w:kern w:val="2"/>
      <w:sz w:val="32"/>
      <w:szCs w:val="32"/>
      <w:lang w:val="en-US" w:eastAsia="zh-CN" w:bidi="ar-SA"/>
    </w:rPr>
  </w:style>
  <w:style w:type="table" w:customStyle="1" w:styleId="15">
    <w:name w:val="普通表格1"/>
    <w:basedOn w:val="9"/>
    <w:semiHidden/>
    <w:qFormat/>
    <w:uiPriority w:val="0"/>
    <w:rPr>
      <w:rFonts w:ascii="Times New Roman" w:hAnsi="Times New Roman" w:eastAsia="Times New Roman" w:cs="Times New Roman"/>
      <w:kern w:val="0"/>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24170</Words>
  <Characters>25771</Characters>
  <Lines>0</Lines>
  <Paragraphs>0</Paragraphs>
  <TotalTime>6</TotalTime>
  <ScaleCrop>false</ScaleCrop>
  <LinksUpToDate>false</LinksUpToDate>
  <CharactersWithSpaces>26030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2020-05-08T06:16:00Z</dcterms:created>
  <dc:creator>诸葛</dc:creator>
  <cp:lastModifiedBy>Administrator</cp:lastModifiedBy>
  <cp:lastPrinted>2023-06-02T01:55:00Z</cp:lastPrinted>
  <dcterms:modified xsi:type="dcterms:W3CDTF">2023-06-02T08:15:48Z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B19E2B54926F493BA331BD0EA59937CC</vt:lpwstr>
  </property>
</Properties>
</file>