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before="156" w:beforeLines="50" w:line="520" w:lineRule="exact"/>
        <w:ind w:right="210" w:rightChars="100"/>
        <w:jc w:val="right"/>
        <w:rPr>
          <w:rFonts w:hint="eastAsia" w:ascii="仿宋_GB2312" w:hAnsi="仿宋_GB2312" w:eastAsia="仿宋_GB2312" w:cs="仿宋_GB2312"/>
          <w:sz w:val="32"/>
          <w:szCs w:val="32"/>
          <w:highlight w:val="yellow"/>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pacing w:val="0"/>
          <w:sz w:val="36"/>
          <w:szCs w:val="36"/>
          <w:highlight w:val="none"/>
        </w:rPr>
      </w:pPr>
      <w:r>
        <w:rPr>
          <w:rFonts w:hint="eastAsia" w:ascii="方正小标宋简体" w:hAnsi="方正小标宋简体" w:eastAsia="方正小标宋简体" w:cs="方正小标宋简体"/>
          <w:bCs/>
          <w:spacing w:val="0"/>
          <w:sz w:val="36"/>
          <w:szCs w:val="36"/>
          <w:highlight w:val="none"/>
          <w:lang w:eastAsia="zh-CN"/>
        </w:rPr>
        <w:t>上饶</w:t>
      </w:r>
      <w:r>
        <w:rPr>
          <w:rFonts w:hint="eastAsia" w:ascii="方正小标宋简体" w:hAnsi="方正小标宋简体" w:eastAsia="方正小标宋简体" w:cs="方正小标宋简体"/>
          <w:bCs/>
          <w:spacing w:val="0"/>
          <w:sz w:val="36"/>
          <w:szCs w:val="36"/>
          <w:highlight w:val="none"/>
        </w:rPr>
        <w:t>市</w:t>
      </w:r>
      <w:r>
        <w:rPr>
          <w:rFonts w:hint="eastAsia" w:ascii="方正小标宋简体" w:hAnsi="方正小标宋简体" w:eastAsia="方正小标宋简体" w:cs="方正小标宋简体"/>
          <w:bCs/>
          <w:spacing w:val="0"/>
          <w:sz w:val="36"/>
          <w:szCs w:val="36"/>
          <w:highlight w:val="none"/>
          <w:lang w:eastAsia="zh-CN"/>
        </w:rPr>
        <w:t>信州区</w:t>
      </w:r>
      <w:r>
        <w:rPr>
          <w:rFonts w:hint="eastAsia" w:ascii="方正小标宋简体" w:hAnsi="方正小标宋简体" w:eastAsia="方正小标宋简体" w:cs="方正小标宋简体"/>
          <w:bCs/>
          <w:spacing w:val="0"/>
          <w:sz w:val="36"/>
          <w:szCs w:val="36"/>
          <w:highlight w:val="none"/>
        </w:rPr>
        <w:t>人民政府</w:t>
      </w:r>
      <w:r>
        <w:rPr>
          <w:rFonts w:hint="eastAsia" w:ascii="方正小标宋简体" w:hAnsi="方正小标宋简体" w:eastAsia="方正小标宋简体" w:cs="方正小标宋简体"/>
          <w:bCs/>
          <w:spacing w:val="0"/>
          <w:sz w:val="36"/>
          <w:szCs w:val="36"/>
          <w:highlight w:val="none"/>
          <w:lang w:val="en-US" w:eastAsia="zh-CN"/>
        </w:rPr>
        <w:t>2023年度第3批次</w:t>
      </w:r>
      <w:r>
        <w:rPr>
          <w:rFonts w:hint="eastAsia" w:ascii="方正小标宋简体" w:hAnsi="方正小标宋简体" w:eastAsia="方正小标宋简体" w:cs="方正小标宋简体"/>
          <w:bCs/>
          <w:spacing w:val="0"/>
          <w:sz w:val="36"/>
          <w:szCs w:val="36"/>
          <w:highlight w:val="none"/>
        </w:rPr>
        <w:t>地块（建设项目用地）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pacing w:val="0"/>
          <w:sz w:val="36"/>
          <w:szCs w:val="36"/>
          <w:highlight w:val="none"/>
        </w:rPr>
      </w:pPr>
      <w:r>
        <w:rPr>
          <w:rFonts w:hint="eastAsia" w:ascii="方正小标宋简体" w:hAnsi="方正小标宋简体" w:eastAsia="方正小标宋简体" w:cs="方正小标宋简体"/>
          <w:bCs/>
          <w:spacing w:val="0"/>
          <w:sz w:val="36"/>
          <w:szCs w:val="36"/>
          <w:highlight w:val="none"/>
        </w:rPr>
        <w:t>征收土地公告</w:t>
      </w:r>
    </w:p>
    <w:p>
      <w:pPr>
        <w:pStyle w:val="5"/>
        <w:spacing w:line="560" w:lineRule="exact"/>
        <w:rPr>
          <w:rFonts w:ascii="仿宋_GB2312" w:eastAsia="仿宋_GB2312"/>
          <w:sz w:val="32"/>
          <w:szCs w:val="32"/>
          <w:highlight w:val="none"/>
        </w:rPr>
      </w:pP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穝灿砰" w:eastAsia="仿宋_GB2312"/>
          <w:spacing w:val="-3"/>
          <w:sz w:val="32"/>
          <w:szCs w:val="36"/>
          <w:highlight w:val="none"/>
        </w:rPr>
      </w:pPr>
      <w:r>
        <w:rPr>
          <w:rFonts w:hint="eastAsia" w:ascii="仿宋_GB2312" w:eastAsia="仿宋_GB2312"/>
          <w:sz w:val="32"/>
          <w:szCs w:val="32"/>
          <w:highlight w:val="none"/>
          <w:lang w:val="en-US" w:eastAsia="zh-CN"/>
        </w:rPr>
        <w:t>上饶</w:t>
      </w:r>
      <w:r>
        <w:rPr>
          <w:rFonts w:hint="eastAsia" w:ascii="仿宋_GB2312" w:hAnsi="穝灿砰" w:eastAsia="仿宋_GB2312"/>
          <w:spacing w:val="-3"/>
          <w:sz w:val="32"/>
          <w:szCs w:val="36"/>
          <w:highlight w:val="none"/>
        </w:rPr>
        <w:t>市</w:t>
      </w:r>
      <w:r>
        <w:rPr>
          <w:rFonts w:hint="eastAsia" w:ascii="仿宋_GB2312" w:hAnsi="穝灿砰" w:eastAsia="仿宋_GB2312"/>
          <w:spacing w:val="-3"/>
          <w:sz w:val="32"/>
          <w:szCs w:val="36"/>
          <w:highlight w:val="none"/>
          <w:lang w:eastAsia="zh-CN"/>
        </w:rPr>
        <w:t>信州区</w:t>
      </w:r>
      <w:r>
        <w:rPr>
          <w:rFonts w:hint="eastAsia" w:ascii="仿宋_GB2312" w:hAnsi="穝灿砰" w:eastAsia="仿宋_GB2312"/>
          <w:spacing w:val="-3"/>
          <w:sz w:val="32"/>
          <w:szCs w:val="36"/>
          <w:highlight w:val="none"/>
          <w:lang w:val="en-US" w:eastAsia="zh-CN"/>
        </w:rPr>
        <w:t>2023</w:t>
      </w:r>
      <w:r>
        <w:rPr>
          <w:rFonts w:hint="eastAsia" w:ascii="仿宋_GB2312" w:hAnsi="穝灿砰" w:eastAsia="仿宋_GB2312"/>
          <w:spacing w:val="-3"/>
          <w:sz w:val="32"/>
          <w:szCs w:val="36"/>
          <w:highlight w:val="none"/>
        </w:rPr>
        <w:t>年度第</w:t>
      </w:r>
      <w:r>
        <w:rPr>
          <w:rFonts w:hint="eastAsia" w:ascii="仿宋_GB2312" w:hAnsi="穝灿砰" w:eastAsia="仿宋_GB2312"/>
          <w:spacing w:val="-3"/>
          <w:sz w:val="32"/>
          <w:szCs w:val="36"/>
          <w:highlight w:val="none"/>
          <w:lang w:val="en-US" w:eastAsia="zh-CN"/>
        </w:rPr>
        <w:t>3</w:t>
      </w:r>
      <w:r>
        <w:rPr>
          <w:rFonts w:hint="eastAsia" w:ascii="仿宋_GB2312" w:hAnsi="穝灿砰" w:eastAsia="仿宋_GB2312"/>
          <w:spacing w:val="-3"/>
          <w:sz w:val="32"/>
          <w:szCs w:val="36"/>
          <w:highlight w:val="none"/>
        </w:rPr>
        <w:t>批次城市建设用地</w:t>
      </w:r>
      <w:r>
        <w:rPr>
          <w:rFonts w:hint="eastAsia" w:ascii="仿宋_GB2312" w:eastAsia="仿宋_GB2312"/>
          <w:sz w:val="32"/>
          <w:szCs w:val="32"/>
          <w:highlight w:val="none"/>
        </w:rPr>
        <w:t>经</w:t>
      </w:r>
      <w:r>
        <w:rPr>
          <w:rFonts w:hint="eastAsia" w:ascii="仿宋_GB2312" w:eastAsia="仿宋_GB2312"/>
          <w:sz w:val="32"/>
          <w:szCs w:val="32"/>
          <w:highlight w:val="none"/>
          <w:lang w:eastAsia="zh-CN"/>
        </w:rPr>
        <w:t>江西</w:t>
      </w:r>
      <w:r>
        <w:rPr>
          <w:rFonts w:hint="eastAsia" w:ascii="仿宋_GB2312" w:eastAsia="仿宋_GB2312"/>
          <w:sz w:val="32"/>
          <w:szCs w:val="32"/>
          <w:highlight w:val="none"/>
        </w:rPr>
        <w:t>省人民政府批准，于</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10月20</w:t>
      </w:r>
      <w:r>
        <w:rPr>
          <w:rFonts w:hint="eastAsia" w:eastAsia="仿宋_GB2312"/>
          <w:sz w:val="32"/>
          <w:szCs w:val="32"/>
          <w:highlight w:val="none"/>
        </w:rPr>
        <w:t>日</w:t>
      </w:r>
      <w:r>
        <w:rPr>
          <w:rFonts w:hint="eastAsia" w:ascii="仿宋_GB2312" w:eastAsia="仿宋_GB2312"/>
          <w:sz w:val="32"/>
          <w:szCs w:val="32"/>
          <w:highlight w:val="none"/>
        </w:rPr>
        <w:t>取得用地批复</w:t>
      </w:r>
      <w:r>
        <w:rPr>
          <w:rFonts w:ascii="仿宋_GB2312" w:hAnsi="穝灿砰" w:eastAsia="仿宋_GB2312"/>
          <w:spacing w:val="-3"/>
          <w:sz w:val="32"/>
          <w:szCs w:val="36"/>
          <w:highlight w:val="none"/>
        </w:rPr>
        <w:t>。现将有关事项公告如下：</w:t>
      </w:r>
    </w:p>
    <w:p>
      <w:pPr>
        <w:pStyle w:val="5"/>
        <w:keepNext w:val="0"/>
        <w:keepLines w:val="0"/>
        <w:pageBreakBefore w:val="0"/>
        <w:widowControl w:val="0"/>
        <w:numPr>
          <w:ilvl w:val="0"/>
          <w:numId w:val="1"/>
        </w:numPr>
        <w:kinsoku/>
        <w:wordWrap/>
        <w:overflowPunct/>
        <w:topLinePunct w:val="0"/>
        <w:autoSpaceDE/>
        <w:autoSpaceDN/>
        <w:bidi w:val="0"/>
        <w:adjustRightInd/>
        <w:spacing w:line="560" w:lineRule="exact"/>
        <w:ind w:firstLine="628" w:firstLineChars="200"/>
        <w:textAlignment w:val="auto"/>
        <w:rPr>
          <w:rFonts w:ascii="黑体" w:hAnsi="穝灿砰" w:eastAsia="黑体"/>
          <w:spacing w:val="-3"/>
          <w:sz w:val="32"/>
          <w:szCs w:val="36"/>
          <w:highlight w:val="none"/>
        </w:rPr>
      </w:pPr>
      <w:r>
        <w:rPr>
          <w:rFonts w:hint="eastAsia" w:ascii="黑体" w:hAnsi="穝灿砰" w:eastAsia="黑体"/>
          <w:spacing w:val="-3"/>
          <w:sz w:val="32"/>
          <w:szCs w:val="36"/>
          <w:highlight w:val="none"/>
        </w:rPr>
        <w:t>批准机关和文号</w:t>
      </w:r>
    </w:p>
    <w:p>
      <w:pPr>
        <w:pStyle w:val="5"/>
        <w:keepNext w:val="0"/>
        <w:keepLines w:val="0"/>
        <w:pageBreakBefore w:val="0"/>
        <w:widowControl w:val="0"/>
        <w:kinsoku/>
        <w:wordWrap/>
        <w:overflowPunct/>
        <w:topLinePunct w:val="0"/>
        <w:autoSpaceDE/>
        <w:autoSpaceDN/>
        <w:bidi w:val="0"/>
        <w:adjustRightInd/>
        <w:spacing w:line="560" w:lineRule="exact"/>
        <w:ind w:firstLine="628"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pacing w:val="-3"/>
          <w:sz w:val="32"/>
          <w:szCs w:val="36"/>
          <w:highlight w:val="none"/>
          <w:lang w:eastAsia="zh-CN"/>
        </w:rPr>
        <w:t>江西省人民</w:t>
      </w:r>
      <w:r>
        <w:rPr>
          <w:rFonts w:hint="eastAsia" w:ascii="仿宋_GB2312" w:hAnsi="仿宋_GB2312" w:eastAsia="仿宋_GB2312" w:cs="仿宋_GB2312"/>
          <w:spacing w:val="-3"/>
          <w:sz w:val="32"/>
          <w:szCs w:val="36"/>
          <w:highlight w:val="none"/>
        </w:rPr>
        <w:t>政府，</w:t>
      </w:r>
      <w:r>
        <w:rPr>
          <w:rFonts w:hint="eastAsia" w:ascii="仿宋_GB2312" w:hAnsi="穝灿砰" w:eastAsia="仿宋_GB2312"/>
          <w:spacing w:val="-3"/>
          <w:sz w:val="32"/>
          <w:szCs w:val="36"/>
          <w:highlight w:val="none"/>
          <w:lang w:eastAsia="zh-CN"/>
        </w:rPr>
        <w:t>赣土批字</w:t>
      </w: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23</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289</w:t>
      </w:r>
      <w:r>
        <w:rPr>
          <w:rFonts w:hint="eastAsia" w:ascii="仿宋_GB2312" w:eastAsia="仿宋_GB2312"/>
          <w:sz w:val="32"/>
          <w:szCs w:val="32"/>
          <w:highlight w:val="none"/>
        </w:rPr>
        <w:t>号</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eastAsia="黑体"/>
          <w:sz w:val="32"/>
          <w:szCs w:val="32"/>
          <w:highlight w:val="none"/>
        </w:rPr>
      </w:pPr>
      <w:r>
        <w:rPr>
          <w:rFonts w:hint="eastAsia" w:ascii="黑体" w:eastAsia="黑体"/>
          <w:sz w:val="32"/>
          <w:szCs w:val="32"/>
          <w:highlight w:val="none"/>
        </w:rPr>
        <w:t>二、征地用途</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sz w:val="32"/>
          <w:szCs w:val="32"/>
          <w:highlight w:val="none"/>
        </w:rPr>
      </w:pPr>
      <w:r>
        <w:rPr>
          <w:rFonts w:hint="eastAsia" w:ascii="仿宋_GB2312" w:eastAsia="仿宋_GB2312"/>
          <w:sz w:val="32"/>
          <w:szCs w:val="32"/>
          <w:highlight w:val="none"/>
          <w:lang w:val="en-US" w:eastAsia="zh-CN"/>
        </w:rPr>
        <w:t>根据《中华人民共和国土地管理法》第四十五条的规定，本次拟征收土地目的为：由政府组织实施的交通场站等基础设施建设需要用地；由政府组织实施的教育等公共事业需要用地，</w:t>
      </w:r>
      <w:r>
        <w:rPr>
          <w:rFonts w:hint="eastAsia" w:ascii="仿宋_GB2312" w:eastAsia="仿宋_GB2312"/>
          <w:sz w:val="32"/>
          <w:szCs w:val="32"/>
          <w:highlight w:val="none"/>
        </w:rPr>
        <w:t>征收土地规划用途</w:t>
      </w:r>
      <w:r>
        <w:rPr>
          <w:rFonts w:hint="eastAsia" w:ascii="仿宋_GB2312" w:eastAsia="仿宋_GB2312"/>
          <w:sz w:val="32"/>
          <w:szCs w:val="32"/>
          <w:highlight w:val="none"/>
          <w:lang w:val="en-US" w:eastAsia="zh-CN"/>
        </w:rPr>
        <w:t>为城镇道路用地和城镇住宅</w:t>
      </w:r>
      <w:bookmarkStart w:id="10" w:name="_GoBack"/>
      <w:bookmarkEnd w:id="10"/>
      <w:r>
        <w:rPr>
          <w:rFonts w:hint="eastAsia" w:ascii="仿宋_GB2312" w:eastAsia="仿宋_GB2312"/>
          <w:sz w:val="32"/>
          <w:szCs w:val="32"/>
          <w:highlight w:val="none"/>
          <w:lang w:val="en-US" w:eastAsia="zh-CN"/>
        </w:rPr>
        <w:t>用地等</w:t>
      </w:r>
      <w:r>
        <w:rPr>
          <w:rFonts w:hint="eastAsia" w:ascii="仿宋_GB2312" w:hAnsi="仿宋_GB2312" w:eastAsia="仿宋_GB2312"/>
          <w:sz w:val="32"/>
          <w:szCs w:val="32"/>
          <w:highlight w:val="none"/>
        </w:rPr>
        <w:t>。</w:t>
      </w:r>
    </w:p>
    <w:p>
      <w:pPr>
        <w:pStyle w:val="5"/>
        <w:keepNext w:val="0"/>
        <w:keepLines w:val="0"/>
        <w:pageBreakBefore w:val="0"/>
        <w:widowControl w:val="0"/>
        <w:kinsoku/>
        <w:wordWrap/>
        <w:overflowPunct/>
        <w:topLinePunct w:val="0"/>
        <w:autoSpaceDE/>
        <w:autoSpaceDN/>
        <w:bidi w:val="0"/>
        <w:adjustRightInd/>
        <w:spacing w:line="560" w:lineRule="exact"/>
        <w:ind w:firstLine="628" w:firstLineChars="200"/>
        <w:textAlignment w:val="auto"/>
        <w:outlineLvl w:val="0"/>
        <w:rPr>
          <w:rFonts w:ascii="黑体" w:hAnsi="穝灿砰" w:eastAsia="黑体"/>
          <w:spacing w:val="-3"/>
          <w:sz w:val="32"/>
          <w:szCs w:val="36"/>
          <w:highlight w:val="none"/>
        </w:rPr>
      </w:pPr>
      <w:bookmarkStart w:id="0" w:name="_Toc109029808"/>
      <w:bookmarkStart w:id="1" w:name="_Toc109029705"/>
      <w:r>
        <w:rPr>
          <w:rFonts w:hint="eastAsia" w:ascii="黑体" w:hAnsi="穝灿砰" w:eastAsia="黑体"/>
          <w:spacing w:val="-3"/>
          <w:sz w:val="32"/>
          <w:szCs w:val="36"/>
          <w:highlight w:val="none"/>
        </w:rPr>
        <w:t>三、征地范围</w:t>
      </w:r>
      <w:bookmarkEnd w:id="0"/>
      <w:bookmarkEnd w:id="1"/>
    </w:p>
    <w:p>
      <w:pPr>
        <w:keepNext w:val="0"/>
        <w:keepLines w:val="0"/>
        <w:pageBreakBefore w:val="0"/>
        <w:widowControl w:val="0"/>
        <w:kinsoku/>
        <w:wordWrap/>
        <w:overflowPunct/>
        <w:topLinePunct w:val="0"/>
        <w:autoSpaceDE/>
        <w:autoSpaceDN/>
        <w:bidi w:val="0"/>
        <w:adjustRightInd/>
        <w:spacing w:line="560" w:lineRule="exact"/>
        <w:textAlignment w:val="auto"/>
        <w:rPr>
          <w:rFonts w:ascii="仿宋_GB2312" w:eastAsia="仿宋_GB2312"/>
          <w:bCs/>
          <w:sz w:val="32"/>
          <w:szCs w:val="32"/>
          <w:highlight w:val="none"/>
        </w:rPr>
      </w:pPr>
      <w:r>
        <w:rPr>
          <w:rFonts w:hint="eastAsia" w:ascii="仿宋_GB2312" w:eastAsia="仿宋_GB2312"/>
          <w:bCs/>
          <w:sz w:val="32"/>
          <w:szCs w:val="32"/>
          <w:highlight w:val="none"/>
          <w:lang w:val="en-US" w:eastAsia="zh-CN"/>
        </w:rPr>
        <w:t xml:space="preserve">    </w:t>
      </w:r>
      <w:r>
        <w:rPr>
          <w:rFonts w:hint="eastAsia" w:ascii="仿宋_GB2312" w:eastAsia="仿宋_GB2312"/>
          <w:bCs/>
          <w:sz w:val="32"/>
          <w:szCs w:val="32"/>
          <w:highlight w:val="none"/>
        </w:rPr>
        <w:t>（</w:t>
      </w:r>
      <w:r>
        <w:rPr>
          <w:rFonts w:hint="eastAsia" w:ascii="仿宋_GB2312" w:eastAsia="仿宋_GB2312"/>
          <w:bCs/>
          <w:sz w:val="32"/>
          <w:szCs w:val="32"/>
          <w:highlight w:val="none"/>
          <w:lang w:val="en-US" w:eastAsia="zh-CN"/>
        </w:rPr>
        <w:t>一</w:t>
      </w:r>
      <w:r>
        <w:rPr>
          <w:rFonts w:hint="eastAsia" w:ascii="仿宋_GB2312" w:eastAsia="仿宋_GB2312"/>
          <w:bCs/>
          <w:sz w:val="32"/>
          <w:szCs w:val="32"/>
          <w:highlight w:val="none"/>
        </w:rPr>
        <w:t>）四至范围：</w:t>
      </w:r>
      <w:r>
        <w:rPr>
          <w:rFonts w:hint="eastAsia" w:ascii="仿宋_GB2312" w:hAnsi="Arial" w:eastAsia="仿宋_GB2312" w:cs="Arial"/>
          <w:sz w:val="32"/>
          <w:szCs w:val="32"/>
        </w:rPr>
        <w:t>朝阳镇狮山居委会，北门街道郭门村</w:t>
      </w:r>
      <w:r>
        <w:rPr>
          <w:rFonts w:hint="eastAsia" w:ascii="仿宋_GB2312" w:eastAsia="仿宋_GB2312"/>
          <w:bCs/>
          <w:sz w:val="32"/>
          <w:szCs w:val="32"/>
          <w:highlight w:val="none"/>
        </w:rPr>
        <w:t>，具体征收范围见征地红线图。</w:t>
      </w:r>
    </w:p>
    <w:p>
      <w:pPr>
        <w:keepNext w:val="0"/>
        <w:keepLines w:val="0"/>
        <w:pageBreakBefore w:val="0"/>
        <w:widowControl w:val="0"/>
        <w:kinsoku/>
        <w:wordWrap/>
        <w:overflowPunct/>
        <w:topLinePunct w:val="0"/>
        <w:autoSpaceDE/>
        <w:autoSpaceDN/>
        <w:bidi w:val="0"/>
        <w:adjustRightInd/>
        <w:spacing w:line="560" w:lineRule="exact"/>
        <w:textAlignment w:val="auto"/>
        <w:rPr>
          <w:rFonts w:ascii="黑体" w:eastAsia="黑体"/>
          <w:sz w:val="32"/>
          <w:szCs w:val="32"/>
          <w:highlight w:val="none"/>
        </w:rPr>
      </w:pPr>
      <w:r>
        <w:rPr>
          <w:rFonts w:hint="eastAsia" w:ascii="仿宋_GB2312" w:eastAsia="仿宋_GB2312"/>
          <w:bCs/>
          <w:sz w:val="32"/>
          <w:szCs w:val="32"/>
          <w:highlight w:val="none"/>
          <w:lang w:val="en-US" w:eastAsia="zh-CN"/>
        </w:rPr>
        <w:t xml:space="preserve">    </w:t>
      </w:r>
      <w:r>
        <w:rPr>
          <w:rFonts w:hint="eastAsia" w:ascii="仿宋_GB2312" w:eastAsia="仿宋_GB2312"/>
          <w:bCs/>
          <w:sz w:val="32"/>
          <w:szCs w:val="32"/>
          <w:highlight w:val="none"/>
        </w:rPr>
        <w:t>（</w:t>
      </w:r>
      <w:r>
        <w:rPr>
          <w:rFonts w:hint="eastAsia" w:ascii="仿宋_GB2312" w:eastAsia="仿宋_GB2312"/>
          <w:bCs/>
          <w:sz w:val="32"/>
          <w:szCs w:val="32"/>
          <w:highlight w:val="none"/>
          <w:lang w:val="en-US" w:eastAsia="zh-CN"/>
        </w:rPr>
        <w:t>二</w:t>
      </w:r>
      <w:r>
        <w:rPr>
          <w:rFonts w:hint="eastAsia" w:ascii="仿宋_GB2312" w:eastAsia="仿宋_GB2312"/>
          <w:bCs/>
          <w:sz w:val="32"/>
          <w:szCs w:val="32"/>
          <w:highlight w:val="none"/>
        </w:rPr>
        <w:t>）被征地权属单位：本次征地涉及</w:t>
      </w:r>
      <w:r>
        <w:rPr>
          <w:rFonts w:hint="eastAsia" w:ascii="仿宋_GB2312" w:hAnsi="Arial" w:eastAsia="仿宋_GB2312" w:cs="Arial"/>
          <w:sz w:val="32"/>
          <w:szCs w:val="32"/>
        </w:rPr>
        <w:t>朝阳镇狮山居委会，北门街道郭门村</w:t>
      </w:r>
      <w:r>
        <w:rPr>
          <w:rFonts w:hint="eastAsia" w:ascii="仿宋_GB2312" w:eastAsia="仿宋_GB2312"/>
          <w:bCs/>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bCs/>
          <w:sz w:val="32"/>
          <w:szCs w:val="32"/>
          <w:highlight w:val="none"/>
        </w:rPr>
        <w:t>（</w:t>
      </w:r>
      <w:r>
        <w:rPr>
          <w:rFonts w:hint="eastAsia" w:ascii="仿宋_GB2312" w:eastAsia="仿宋_GB2312"/>
          <w:bCs/>
          <w:sz w:val="32"/>
          <w:szCs w:val="32"/>
          <w:highlight w:val="none"/>
          <w:lang w:val="en-US" w:eastAsia="zh-CN"/>
        </w:rPr>
        <w:t>三</w:t>
      </w:r>
      <w:r>
        <w:rPr>
          <w:rFonts w:hint="eastAsia" w:ascii="仿宋_GB2312" w:eastAsia="仿宋_GB2312"/>
          <w:bCs/>
          <w:sz w:val="32"/>
          <w:szCs w:val="32"/>
          <w:highlight w:val="none"/>
        </w:rPr>
        <w:t>）征地面积</w:t>
      </w:r>
      <w:r>
        <w:rPr>
          <w:rFonts w:hint="eastAsia" w:ascii="仿宋_GB2312" w:eastAsia="仿宋_GB2312"/>
          <w:sz w:val="32"/>
          <w:szCs w:val="32"/>
          <w:highlight w:val="none"/>
        </w:rPr>
        <w:t>：经调查确认，本次征地总面积</w:t>
      </w:r>
      <w:r>
        <w:rPr>
          <w:rFonts w:hint="eastAsia" w:ascii="仿宋_GB2312" w:eastAsia="仿宋_GB2312"/>
          <w:sz w:val="32"/>
          <w:szCs w:val="32"/>
          <w:highlight w:val="none"/>
          <w:lang w:val="en-US" w:eastAsia="zh-CN"/>
        </w:rPr>
        <w:t>75.6885</w:t>
      </w:r>
      <w:r>
        <w:rPr>
          <w:rFonts w:hint="eastAsia" w:ascii="仿宋_GB2312" w:eastAsia="仿宋_GB2312"/>
          <w:sz w:val="32"/>
          <w:szCs w:val="32"/>
          <w:highlight w:val="none"/>
        </w:rPr>
        <w:t>亩，其中：水田</w:t>
      </w:r>
      <w:r>
        <w:rPr>
          <w:rFonts w:hint="eastAsia" w:ascii="仿宋_GB2312" w:eastAsia="仿宋_GB2312"/>
          <w:sz w:val="32"/>
          <w:szCs w:val="32"/>
          <w:highlight w:val="none"/>
          <w:lang w:val="en-US" w:eastAsia="zh-CN"/>
        </w:rPr>
        <w:t>15.522</w:t>
      </w:r>
      <w:r>
        <w:rPr>
          <w:rFonts w:hint="eastAsia" w:ascii="仿宋_GB2312" w:eastAsia="仿宋_GB2312"/>
          <w:sz w:val="32"/>
          <w:szCs w:val="32"/>
          <w:highlight w:val="none"/>
        </w:rPr>
        <w:t>亩、</w:t>
      </w:r>
      <w:r>
        <w:rPr>
          <w:rFonts w:hint="eastAsia" w:ascii="仿宋_GB2312" w:eastAsia="仿宋_GB2312"/>
          <w:sz w:val="32"/>
          <w:szCs w:val="32"/>
          <w:highlight w:val="none"/>
          <w:lang w:eastAsia="zh-CN"/>
        </w:rPr>
        <w:t>旱地</w:t>
      </w:r>
      <w:r>
        <w:rPr>
          <w:rFonts w:hint="eastAsia" w:ascii="仿宋_GB2312" w:eastAsia="仿宋_GB2312"/>
          <w:sz w:val="32"/>
          <w:szCs w:val="32"/>
          <w:highlight w:val="none"/>
          <w:lang w:val="en-US" w:eastAsia="zh-CN"/>
        </w:rPr>
        <w:t>12.657</w:t>
      </w:r>
      <w:r>
        <w:rPr>
          <w:rFonts w:hint="eastAsia" w:ascii="仿宋_GB2312" w:eastAsia="仿宋_GB2312"/>
          <w:sz w:val="32"/>
          <w:szCs w:val="32"/>
          <w:highlight w:val="none"/>
        </w:rPr>
        <w:t>亩、</w:t>
      </w:r>
      <w:r>
        <w:rPr>
          <w:rFonts w:hint="eastAsia" w:ascii="仿宋_GB2312" w:eastAsia="仿宋_GB2312"/>
          <w:sz w:val="32"/>
          <w:szCs w:val="32"/>
          <w:highlight w:val="none"/>
          <w:lang w:eastAsia="zh-CN"/>
        </w:rPr>
        <w:t>林地</w:t>
      </w:r>
      <w:r>
        <w:rPr>
          <w:rFonts w:hint="eastAsia" w:ascii="仿宋_GB2312" w:eastAsia="仿宋_GB2312"/>
          <w:sz w:val="32"/>
          <w:szCs w:val="32"/>
          <w:highlight w:val="none"/>
          <w:lang w:val="en-US" w:eastAsia="zh-CN"/>
        </w:rPr>
        <w:t>0.195亩、水域3.498亩、</w:t>
      </w:r>
      <w:r>
        <w:rPr>
          <w:rFonts w:hint="eastAsia" w:ascii="仿宋_GB2312" w:eastAsia="仿宋_GB2312"/>
          <w:sz w:val="32"/>
          <w:szCs w:val="32"/>
          <w:highlight w:val="none"/>
          <w:lang w:eastAsia="zh-CN"/>
        </w:rPr>
        <w:t>其他农用地</w:t>
      </w:r>
      <w:r>
        <w:rPr>
          <w:rFonts w:hint="eastAsia" w:ascii="仿宋_GB2312" w:eastAsia="仿宋_GB2312"/>
          <w:sz w:val="32"/>
          <w:szCs w:val="32"/>
          <w:highlight w:val="none"/>
          <w:lang w:val="en-US" w:eastAsia="zh-CN"/>
        </w:rPr>
        <w:t>0.597亩、建设用地6.4455亩</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0"/>
        <w:rPr>
          <w:rFonts w:ascii="黑体" w:eastAsia="黑体"/>
          <w:sz w:val="32"/>
          <w:szCs w:val="32"/>
          <w:highlight w:val="none"/>
        </w:rPr>
      </w:pPr>
      <w:bookmarkStart w:id="2" w:name="_Toc109029809"/>
      <w:bookmarkStart w:id="3" w:name="_Toc109029706"/>
      <w:r>
        <w:rPr>
          <w:rFonts w:hint="eastAsia" w:ascii="黑体" w:eastAsia="黑体"/>
          <w:sz w:val="32"/>
          <w:szCs w:val="32"/>
          <w:highlight w:val="none"/>
        </w:rPr>
        <w:t>四、征收土地补偿安置标准</w:t>
      </w:r>
      <w:bookmarkEnd w:id="2"/>
      <w:bookmarkEnd w:id="3"/>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（一）补偿</w:t>
      </w:r>
      <w:r>
        <w:rPr>
          <w:rFonts w:hint="eastAsia" w:ascii="仿宋_GB2312" w:eastAsia="仿宋_GB2312"/>
          <w:sz w:val="32"/>
          <w:szCs w:val="32"/>
          <w:highlight w:val="none"/>
          <w:lang w:val="en-US" w:eastAsia="zh-CN"/>
        </w:rPr>
        <w:t>安置</w:t>
      </w:r>
      <w:r>
        <w:rPr>
          <w:rFonts w:hint="eastAsia" w:ascii="仿宋_GB2312" w:eastAsia="仿宋_GB2312"/>
          <w:sz w:val="32"/>
          <w:szCs w:val="32"/>
          <w:highlight w:val="none"/>
        </w:rPr>
        <w:t>按</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江西省人民政府关于公布全省征地区片综合地价的通知》（赣府字〔20</w:t>
      </w:r>
      <w:r>
        <w:rPr>
          <w:rFonts w:hint="eastAsia" w:ascii="仿宋_GB2312" w:eastAsia="仿宋_GB2312"/>
          <w:sz w:val="32"/>
          <w:szCs w:val="32"/>
          <w:highlight w:val="none"/>
          <w:lang w:val="en-US" w:eastAsia="zh-CN"/>
        </w:rPr>
        <w:t>20</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号）规定的标准执行，具体补偿金额以协议为准。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仿宋_GB2312" w:hAnsi="仿宋_GB2312" w:eastAsia="仿宋_GB2312" w:cs="仿宋_GB2312"/>
          <w:sz w:val="32"/>
          <w:szCs w:val="32"/>
          <w:highlight w:val="none"/>
        </w:rPr>
        <w:t>（二）被征</w:t>
      </w:r>
      <w:r>
        <w:rPr>
          <w:rFonts w:hint="eastAsia" w:ascii="仿宋_GB2312" w:eastAsia="仿宋_GB2312"/>
          <w:sz w:val="32"/>
          <w:szCs w:val="32"/>
          <w:highlight w:val="none"/>
        </w:rPr>
        <w:t>地农业人口社保安置按《江西省人民政府办公厅转发省人社厅等部门关于进一步完善被征地农民基本养老保险政策意见的通知》（赣府厅发〔2014〕12号）、《江西省人民政府办公厅关于切实做好被征地农民参加基本养老保险相关工作的通知》（赣府厅字〔2022〕56号）等有关政策执行。</w:t>
      </w:r>
    </w:p>
    <w:p>
      <w:pPr>
        <w:keepNext w:val="0"/>
        <w:keepLines w:val="0"/>
        <w:pageBreakBefore w:val="0"/>
        <w:widowControl w:val="0"/>
        <w:kinsoku/>
        <w:wordWrap/>
        <w:overflowPunct/>
        <w:topLinePunct w:val="0"/>
        <w:autoSpaceDE/>
        <w:autoSpaceDN/>
        <w:bidi w:val="0"/>
        <w:adjustRightInd/>
        <w:spacing w:line="560" w:lineRule="exact"/>
        <w:textAlignment w:val="auto"/>
        <w:outlineLvl w:val="0"/>
        <w:rPr>
          <w:rFonts w:ascii="黑体" w:eastAsia="黑体"/>
          <w:sz w:val="32"/>
          <w:szCs w:val="32"/>
          <w:highlight w:val="none"/>
        </w:rPr>
      </w:pPr>
      <w:bookmarkStart w:id="4" w:name="_Toc109029810"/>
      <w:bookmarkStart w:id="5" w:name="_Toc109029707"/>
      <w:r>
        <w:rPr>
          <w:rFonts w:hint="eastAsia" w:ascii="黑体" w:eastAsia="黑体"/>
          <w:sz w:val="32"/>
          <w:szCs w:val="32"/>
          <w:highlight w:val="none"/>
          <w:lang w:val="en-US" w:eastAsia="zh-CN"/>
        </w:rPr>
        <w:t xml:space="preserve">    </w:t>
      </w:r>
      <w:r>
        <w:rPr>
          <w:rFonts w:hint="eastAsia" w:ascii="黑体" w:eastAsia="黑体"/>
          <w:sz w:val="32"/>
          <w:szCs w:val="32"/>
          <w:highlight w:val="none"/>
        </w:rPr>
        <w:t>五、公告期限</w:t>
      </w:r>
      <w:bookmarkEnd w:id="4"/>
      <w:bookmarkEnd w:id="5"/>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本公告期限自</w:t>
      </w:r>
      <w:r>
        <w:rPr>
          <w:rFonts w:hint="eastAsia" w:ascii="仿宋_GB2312" w:eastAsia="仿宋_GB2312"/>
          <w:sz w:val="32"/>
          <w:szCs w:val="32"/>
          <w:highlight w:val="none"/>
          <w:u w:val="single"/>
          <w:lang w:val="en-US" w:eastAsia="zh-CN"/>
        </w:rPr>
        <w:t>2023</w:t>
      </w:r>
      <w:r>
        <w:rPr>
          <w:rFonts w:hint="eastAsia" w:ascii="仿宋_GB2312" w:eastAsia="仿宋_GB2312"/>
          <w:sz w:val="32"/>
          <w:szCs w:val="32"/>
          <w:highlight w:val="none"/>
        </w:rPr>
        <w:t>年</w:t>
      </w:r>
      <w:r>
        <w:rPr>
          <w:rFonts w:hint="eastAsia" w:ascii="仿宋_GB2312" w:eastAsia="仿宋_GB2312"/>
          <w:sz w:val="32"/>
          <w:szCs w:val="32"/>
          <w:highlight w:val="none"/>
          <w:u w:val="single"/>
          <w:lang w:val="en-US" w:eastAsia="zh-CN"/>
        </w:rPr>
        <w:t>10</w:t>
      </w:r>
      <w:r>
        <w:rPr>
          <w:rFonts w:hint="eastAsia" w:ascii="仿宋_GB2312" w:eastAsia="仿宋_GB2312"/>
          <w:sz w:val="32"/>
          <w:szCs w:val="32"/>
          <w:highlight w:val="none"/>
        </w:rPr>
        <w:t>月</w:t>
      </w:r>
      <w:r>
        <w:rPr>
          <w:rFonts w:hint="eastAsia" w:ascii="仿宋_GB2312" w:eastAsia="仿宋_GB2312"/>
          <w:sz w:val="32"/>
          <w:szCs w:val="32"/>
          <w:highlight w:val="none"/>
          <w:u w:val="single"/>
          <w:lang w:val="en-US" w:eastAsia="zh-CN"/>
        </w:rPr>
        <w:t>21</w:t>
      </w:r>
      <w:r>
        <w:rPr>
          <w:rFonts w:hint="eastAsia" w:ascii="仿宋_GB2312" w:eastAsia="仿宋_GB2312"/>
          <w:sz w:val="32"/>
          <w:szCs w:val="32"/>
          <w:highlight w:val="none"/>
        </w:rPr>
        <w:t>日至</w:t>
      </w:r>
      <w:r>
        <w:rPr>
          <w:rFonts w:hint="eastAsia" w:ascii="仿宋_GB2312" w:eastAsia="仿宋_GB2312"/>
          <w:sz w:val="32"/>
          <w:szCs w:val="32"/>
          <w:highlight w:val="none"/>
          <w:u w:val="single"/>
          <w:lang w:val="en-US" w:eastAsia="zh-CN"/>
        </w:rPr>
        <w:t>2023</w:t>
      </w:r>
      <w:r>
        <w:rPr>
          <w:rFonts w:hint="eastAsia" w:ascii="仿宋_GB2312" w:eastAsia="仿宋_GB2312"/>
          <w:sz w:val="32"/>
          <w:szCs w:val="32"/>
          <w:highlight w:val="none"/>
        </w:rPr>
        <w:t>年</w:t>
      </w:r>
      <w:r>
        <w:rPr>
          <w:rFonts w:hint="eastAsia" w:ascii="仿宋_GB2312" w:eastAsia="仿宋_GB2312"/>
          <w:sz w:val="32"/>
          <w:szCs w:val="32"/>
          <w:highlight w:val="none"/>
          <w:u w:val="single"/>
          <w:lang w:val="en-US" w:eastAsia="zh-CN"/>
        </w:rPr>
        <w:t>11</w:t>
      </w:r>
      <w:r>
        <w:rPr>
          <w:rFonts w:hint="eastAsia" w:ascii="仿宋_GB2312" w:eastAsia="仿宋_GB2312"/>
          <w:sz w:val="32"/>
          <w:szCs w:val="32"/>
          <w:highlight w:val="none"/>
        </w:rPr>
        <w:t>月</w:t>
      </w:r>
      <w:r>
        <w:rPr>
          <w:rFonts w:hint="eastAsia" w:ascii="仿宋_GB2312" w:eastAsia="仿宋_GB2312"/>
          <w:sz w:val="32"/>
          <w:szCs w:val="32"/>
          <w:highlight w:val="none"/>
          <w:u w:val="single"/>
          <w:lang w:val="en-US" w:eastAsia="zh-CN"/>
        </w:rPr>
        <w:t>3</w:t>
      </w:r>
      <w:r>
        <w:rPr>
          <w:rFonts w:hint="eastAsia" w:ascii="仿宋_GB2312" w:eastAsia="仿宋_GB2312"/>
          <w:sz w:val="32"/>
          <w:szCs w:val="32"/>
          <w:highlight w:val="none"/>
        </w:rPr>
        <w:t>日。（</w:t>
      </w:r>
      <w:r>
        <w:rPr>
          <w:rFonts w:hint="eastAsia" w:ascii="仿宋_GB2312" w:hAnsi="仿宋_GB2312" w:eastAsia="仿宋_GB2312" w:cs="仿宋_GB2312"/>
          <w:sz w:val="32"/>
          <w:szCs w:val="32"/>
          <w:highlight w:val="none"/>
        </w:rPr>
        <w:t>公告时间不少于十个工作日</w:t>
      </w:r>
      <w:r>
        <w:rPr>
          <w:rFonts w:hint="eastAsia" w:ascii="仿宋_GB2312" w:eastAsia="仿宋_GB2312"/>
          <w:sz w:val="32"/>
          <w:szCs w:val="32"/>
          <w:highlight w:val="none"/>
        </w:rPr>
        <w:t>）</w:t>
      </w:r>
    </w:p>
    <w:p>
      <w:pPr>
        <w:pStyle w:val="5"/>
        <w:keepNext w:val="0"/>
        <w:keepLines w:val="0"/>
        <w:pageBreakBefore w:val="0"/>
        <w:widowControl w:val="0"/>
        <w:kinsoku/>
        <w:wordWrap/>
        <w:overflowPunct/>
        <w:topLinePunct w:val="0"/>
        <w:autoSpaceDE/>
        <w:autoSpaceDN/>
        <w:bidi w:val="0"/>
        <w:adjustRightInd/>
        <w:spacing w:line="560" w:lineRule="exact"/>
        <w:ind w:firstLine="649" w:firstLineChars="203"/>
        <w:textAlignment w:val="auto"/>
        <w:outlineLvl w:val="0"/>
        <w:rPr>
          <w:rFonts w:ascii="黑体" w:hAnsi="黑体" w:eastAsia="黑体" w:cs="仿宋_GB2312"/>
          <w:sz w:val="32"/>
          <w:szCs w:val="32"/>
          <w:highlight w:val="none"/>
        </w:rPr>
      </w:pPr>
      <w:bookmarkStart w:id="6" w:name="_Toc109029811"/>
      <w:bookmarkStart w:id="7" w:name="_Toc109029708"/>
      <w:r>
        <w:rPr>
          <w:rFonts w:hint="eastAsia" w:ascii="黑体" w:hAnsi="黑体" w:eastAsia="黑体" w:cs="仿宋_GB2312"/>
          <w:sz w:val="32"/>
          <w:szCs w:val="32"/>
          <w:highlight w:val="none"/>
        </w:rPr>
        <w:t>六、工作安排</w:t>
      </w:r>
      <w:bookmarkEnd w:id="6"/>
      <w:bookmarkEnd w:id="7"/>
    </w:p>
    <w:p>
      <w:pPr>
        <w:pStyle w:val="5"/>
        <w:keepNext w:val="0"/>
        <w:keepLines w:val="0"/>
        <w:pageBreakBefore w:val="0"/>
        <w:widowControl w:val="0"/>
        <w:kinsoku/>
        <w:wordWrap/>
        <w:overflowPunct/>
        <w:topLinePunct w:val="0"/>
        <w:autoSpaceDE/>
        <w:autoSpaceDN/>
        <w:bidi w:val="0"/>
        <w:adjustRightInd/>
        <w:spacing w:line="560" w:lineRule="exact"/>
        <w:ind w:firstLine="649" w:firstLineChars="203"/>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）支付费用：公告发布之日起六十日内，将土地补偿费、安置补助费足额支付给被征地农村集体经济组织，将青苗、</w:t>
      </w:r>
      <w:r>
        <w:rPr>
          <w:rFonts w:hint="eastAsia" w:ascii="仿宋_GB2312" w:hAnsi="仿宋_GB2312" w:eastAsia="仿宋_GB2312" w:cs="仿宋_GB2312"/>
          <w:sz w:val="32"/>
          <w:szCs w:val="32"/>
          <w:highlight w:val="none"/>
          <w:lang w:val="en-US" w:eastAsia="zh-CN"/>
        </w:rPr>
        <w:t>树木、</w:t>
      </w:r>
      <w:r>
        <w:rPr>
          <w:rFonts w:hint="eastAsia" w:ascii="仿宋_GB2312" w:hAnsi="仿宋_GB2312" w:eastAsia="仿宋_GB2312" w:cs="仿宋_GB2312"/>
          <w:sz w:val="32"/>
          <w:szCs w:val="32"/>
          <w:highlight w:val="none"/>
        </w:rPr>
        <w:t>农村村民住宅、其他建筑物及构筑物等的补偿等费用足额支付给其所有权人，并将被征地农民的社会保障资金足额计入被征地农民基本养老保险等个人的社会保障基金账户。对个别未达成征地补偿安置协议的，支付征收土地补偿费用的期限自征收土地补偿安置决定作出之日起计算。</w:t>
      </w:r>
    </w:p>
    <w:p>
      <w:pPr>
        <w:pStyle w:val="5"/>
        <w:keepNext w:val="0"/>
        <w:keepLines w:val="0"/>
        <w:pageBreakBefore w:val="0"/>
        <w:widowControl w:val="0"/>
        <w:kinsoku/>
        <w:wordWrap/>
        <w:overflowPunct/>
        <w:topLinePunct w:val="0"/>
        <w:autoSpaceDE/>
        <w:autoSpaceDN/>
        <w:bidi w:val="0"/>
        <w:adjustRightInd/>
        <w:spacing w:line="560" w:lineRule="exact"/>
        <w:ind w:firstLine="649" w:firstLineChars="203"/>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）腾退土地：被征收土地所有权人、使用权人应依法依规腾退土地和房屋，并办理</w:t>
      </w:r>
      <w:r>
        <w:rPr>
          <w:rFonts w:hint="eastAsia" w:ascii="仿宋_GB2312" w:hAnsi="仿宋_GB2312" w:eastAsia="仿宋_GB2312" w:cs="仿宋_GB2312"/>
          <w:sz w:val="32"/>
          <w:szCs w:val="32"/>
          <w:highlight w:val="none"/>
          <w:lang w:val="en-US" w:eastAsia="zh-CN"/>
        </w:rPr>
        <w:t>权属注销或转移登记等</w:t>
      </w:r>
      <w:r>
        <w:rPr>
          <w:rFonts w:hint="eastAsia" w:ascii="仿宋_GB2312" w:hAnsi="仿宋_GB2312" w:eastAsia="仿宋_GB2312" w:cs="仿宋_GB2312"/>
          <w:sz w:val="32"/>
          <w:szCs w:val="32"/>
          <w:highlight w:val="none"/>
        </w:rPr>
        <w:t>相关手续。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val="en-US" w:eastAsia="zh-CN"/>
        </w:rPr>
        <w:t>三</w:t>
      </w:r>
      <w:r>
        <w:rPr>
          <w:rFonts w:hint="eastAsia" w:ascii="仿宋_GB2312" w:hAnsi="仿宋_GB2312" w:eastAsia="仿宋_GB2312" w:cs="仿宋_GB2312"/>
          <w:kern w:val="0"/>
          <w:sz w:val="32"/>
          <w:szCs w:val="32"/>
          <w:highlight w:val="none"/>
        </w:rPr>
        <w:t>）补偿安置决定：</w:t>
      </w:r>
      <w:r>
        <w:rPr>
          <w:rFonts w:hint="eastAsia" w:ascii="仿宋_GB2312" w:hAnsi="仿宋_GB2312" w:eastAsia="仿宋_GB2312" w:cs="仿宋_GB2312"/>
          <w:sz w:val="32"/>
          <w:szCs w:val="32"/>
          <w:highlight w:val="none"/>
        </w:rPr>
        <w:t>公告发布之日起四十五日内，将对个别未达成征地补偿安置协议的，依据土地现状调查公示结果、征地补偿安置方案、补偿登记结果等，作出征收土地补偿安置决定并送达征收土地所有权人、使用权人，依法组织实施。</w:t>
      </w:r>
    </w:p>
    <w:p>
      <w:pPr>
        <w:pStyle w:val="5"/>
        <w:keepNext w:val="0"/>
        <w:keepLines w:val="0"/>
        <w:pageBreakBefore w:val="0"/>
        <w:widowControl w:val="0"/>
        <w:kinsoku/>
        <w:wordWrap/>
        <w:overflowPunct/>
        <w:topLinePunct w:val="0"/>
        <w:autoSpaceDE/>
        <w:autoSpaceDN/>
        <w:bidi w:val="0"/>
        <w:adjustRightInd/>
        <w:spacing w:line="560" w:lineRule="exact"/>
        <w:ind w:firstLine="649" w:firstLineChars="203"/>
        <w:textAlignment w:val="auto"/>
        <w:outlineLvl w:val="0"/>
        <w:rPr>
          <w:rFonts w:ascii="黑体" w:hAnsi="黑体" w:eastAsia="黑体" w:cs="仿宋_GB2312"/>
          <w:sz w:val="32"/>
          <w:szCs w:val="32"/>
          <w:highlight w:val="none"/>
        </w:rPr>
      </w:pPr>
      <w:bookmarkStart w:id="8" w:name="_Toc109029812"/>
      <w:bookmarkStart w:id="9" w:name="_Toc109029709"/>
      <w:r>
        <w:rPr>
          <w:rFonts w:hint="eastAsia" w:ascii="黑体" w:hAnsi="黑体" w:eastAsia="黑体" w:cs="仿宋_GB2312"/>
          <w:sz w:val="32"/>
          <w:szCs w:val="32"/>
          <w:highlight w:val="none"/>
        </w:rPr>
        <w:t>七、救济渠道和期限</w:t>
      </w:r>
      <w:bookmarkEnd w:id="8"/>
      <w:bookmarkEnd w:id="9"/>
    </w:p>
    <w:p>
      <w:pPr>
        <w:pStyle w:val="5"/>
        <w:keepNext w:val="0"/>
        <w:keepLines w:val="0"/>
        <w:pageBreakBefore w:val="0"/>
        <w:widowControl w:val="0"/>
        <w:kinsoku/>
        <w:wordWrap/>
        <w:overflowPunct/>
        <w:topLinePunct w:val="0"/>
        <w:autoSpaceDE/>
        <w:autoSpaceDN/>
        <w:bidi w:val="0"/>
        <w:adjustRightInd/>
        <w:spacing w:line="560" w:lineRule="exact"/>
        <w:ind w:firstLine="649" w:firstLineChars="203"/>
        <w:textAlignment w:val="auto"/>
        <w:rPr>
          <w:highlight w:val="none"/>
        </w:rPr>
      </w:pPr>
      <w:r>
        <w:rPr>
          <w:rFonts w:hint="eastAsia" w:ascii="仿宋_GB2312" w:eastAsia="仿宋_GB2312"/>
          <w:sz w:val="32"/>
          <w:szCs w:val="32"/>
          <w:highlight w:val="none"/>
        </w:rPr>
        <w:t>被征地农村集体经济组织及成员对批准征收土地不服（批准文号：</w:t>
      </w:r>
      <w:r>
        <w:rPr>
          <w:rFonts w:hint="eastAsia" w:ascii="仿宋_GB2312" w:hAnsi="穝灿砰" w:eastAsia="仿宋_GB2312"/>
          <w:spacing w:val="-3"/>
          <w:sz w:val="32"/>
          <w:szCs w:val="36"/>
          <w:highlight w:val="none"/>
          <w:lang w:eastAsia="zh-CN"/>
        </w:rPr>
        <w:t>赣土批字</w:t>
      </w: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23</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248</w:t>
      </w:r>
      <w:r>
        <w:rPr>
          <w:rFonts w:hint="eastAsia" w:ascii="仿宋_GB2312" w:eastAsia="仿宋_GB2312"/>
          <w:sz w:val="32"/>
          <w:szCs w:val="32"/>
          <w:highlight w:val="none"/>
        </w:rPr>
        <w:t>号），可自公告期限届满之日起</w:t>
      </w:r>
      <w:r>
        <w:rPr>
          <w:rFonts w:ascii="仿宋_GB2312" w:eastAsia="仿宋_GB2312"/>
          <w:sz w:val="32"/>
          <w:szCs w:val="32"/>
          <w:highlight w:val="none"/>
        </w:rPr>
        <w:t>60</w:t>
      </w:r>
      <w:r>
        <w:rPr>
          <w:rFonts w:hint="eastAsia" w:ascii="仿宋_GB2312" w:eastAsia="仿宋_GB2312"/>
          <w:sz w:val="32"/>
          <w:szCs w:val="32"/>
          <w:highlight w:val="none"/>
        </w:rPr>
        <w:t>日内</w:t>
      </w:r>
      <w:r>
        <w:rPr>
          <w:rFonts w:hint="eastAsia" w:ascii="仿宋_GB2312" w:hAnsi="仿宋_GB2312" w:eastAsia="仿宋_GB2312" w:cs="仿宋_GB2312"/>
          <w:sz w:val="32"/>
          <w:szCs w:val="32"/>
          <w:highlight w:val="none"/>
        </w:rPr>
        <w:t>向</w:t>
      </w:r>
      <w:r>
        <w:rPr>
          <w:rFonts w:hint="eastAsia" w:ascii="仿宋_GB2312" w:eastAsia="仿宋_GB2312"/>
          <w:sz w:val="32"/>
          <w:szCs w:val="32"/>
          <w:highlight w:val="none"/>
          <w:lang w:eastAsia="zh-CN"/>
        </w:rPr>
        <w:t>江西</w:t>
      </w:r>
      <w:r>
        <w:rPr>
          <w:rFonts w:hint="eastAsia" w:ascii="仿宋_GB2312" w:eastAsia="仿宋_GB2312"/>
          <w:sz w:val="32"/>
          <w:szCs w:val="32"/>
          <w:highlight w:val="none"/>
        </w:rPr>
        <w:t>省人民政府申请行政复议。复议期间，不影响土地征收工作实施。</w:t>
      </w:r>
    </w:p>
    <w:p>
      <w:pPr>
        <w:pStyle w:val="5"/>
        <w:keepNext w:val="0"/>
        <w:keepLines w:val="0"/>
        <w:pageBreakBefore w:val="0"/>
        <w:widowControl w:val="0"/>
        <w:kinsoku/>
        <w:wordWrap/>
        <w:overflowPunct/>
        <w:topLinePunct w:val="0"/>
        <w:autoSpaceDE/>
        <w:autoSpaceDN/>
        <w:bidi w:val="0"/>
        <w:adjustRightInd/>
        <w:spacing w:line="560" w:lineRule="exact"/>
        <w:ind w:firstLine="637" w:firstLineChars="203"/>
        <w:textAlignment w:val="auto"/>
        <w:rPr>
          <w:rFonts w:ascii="仿宋_GB2312" w:hAnsi="穝灿砰" w:eastAsia="仿宋_GB2312"/>
          <w:spacing w:val="-3"/>
          <w:sz w:val="32"/>
          <w:szCs w:val="36"/>
          <w:highlight w:val="none"/>
        </w:rPr>
      </w:pPr>
      <w:r>
        <w:rPr>
          <w:rFonts w:ascii="仿宋_GB2312" w:hAnsi="穝灿砰" w:eastAsia="仿宋_GB2312"/>
          <w:spacing w:val="-3"/>
          <w:sz w:val="32"/>
          <w:szCs w:val="36"/>
          <w:highlight w:val="none"/>
        </w:rPr>
        <w:t>特此公告</w:t>
      </w:r>
      <w:r>
        <w:rPr>
          <w:rFonts w:ascii="仿宋_GB2312" w:hAnsi="穝灿砰" w:eastAsia="仿宋_GB2312"/>
          <w:spacing w:val="-3"/>
          <w:sz w:val="32"/>
          <w:szCs w:val="36"/>
          <w:highlight w:val="none"/>
        </w:rPr>
        <w:tab/>
      </w:r>
    </w:p>
    <w:p>
      <w:pPr>
        <w:pStyle w:val="5"/>
        <w:keepNext w:val="0"/>
        <w:keepLines w:val="0"/>
        <w:pageBreakBefore w:val="0"/>
        <w:widowControl w:val="0"/>
        <w:kinsoku/>
        <w:wordWrap/>
        <w:overflowPunct/>
        <w:topLinePunct w:val="0"/>
        <w:autoSpaceDE/>
        <w:autoSpaceDN/>
        <w:bidi w:val="0"/>
        <w:adjustRightInd/>
        <w:spacing w:line="560" w:lineRule="exact"/>
        <w:textAlignment w:val="auto"/>
        <w:rPr>
          <w:rFonts w:ascii="仿宋_GB2312" w:hAnsi="穝灿砰" w:eastAsia="仿宋_GB2312"/>
          <w:spacing w:val="-3"/>
          <w:sz w:val="32"/>
          <w:szCs w:val="36"/>
          <w:highlight w:val="none"/>
        </w:rPr>
      </w:pPr>
    </w:p>
    <w:p>
      <w:pPr>
        <w:pStyle w:val="5"/>
        <w:keepNext w:val="0"/>
        <w:keepLines w:val="0"/>
        <w:pageBreakBefore w:val="0"/>
        <w:widowControl w:val="0"/>
        <w:kinsoku/>
        <w:wordWrap/>
        <w:overflowPunct/>
        <w:topLinePunct w:val="0"/>
        <w:autoSpaceDE/>
        <w:autoSpaceDN/>
        <w:bidi w:val="0"/>
        <w:adjustRightInd/>
        <w:spacing w:line="560" w:lineRule="exact"/>
        <w:ind w:firstLine="637" w:firstLineChars="203"/>
        <w:textAlignment w:val="auto"/>
        <w:rPr>
          <w:rFonts w:ascii="仿宋_GB2312" w:hAnsi="穝灿砰" w:eastAsia="仿宋_GB2312"/>
          <w:spacing w:val="-3"/>
          <w:sz w:val="32"/>
          <w:szCs w:val="36"/>
          <w:highlight w:val="none"/>
        </w:rPr>
      </w:pPr>
    </w:p>
    <w:p>
      <w:pPr>
        <w:pStyle w:val="5"/>
        <w:keepNext w:val="0"/>
        <w:keepLines w:val="0"/>
        <w:pageBreakBefore w:val="0"/>
        <w:widowControl w:val="0"/>
        <w:kinsoku/>
        <w:wordWrap/>
        <w:overflowPunct/>
        <w:topLinePunct w:val="0"/>
        <w:autoSpaceDE/>
        <w:autoSpaceDN/>
        <w:bidi w:val="0"/>
        <w:adjustRightInd/>
        <w:spacing w:line="560" w:lineRule="exact"/>
        <w:ind w:firstLine="637" w:firstLineChars="203"/>
        <w:textAlignment w:val="auto"/>
        <w:rPr>
          <w:rFonts w:ascii="仿宋_GB2312" w:hAnsi="穝灿砰" w:eastAsia="仿宋_GB2312"/>
          <w:spacing w:val="-3"/>
          <w:sz w:val="32"/>
          <w:szCs w:val="36"/>
          <w:highlight w:val="none"/>
        </w:rPr>
      </w:pPr>
    </w:p>
    <w:p>
      <w:pPr>
        <w:keepNext w:val="0"/>
        <w:keepLines w:val="0"/>
        <w:pageBreakBefore w:val="0"/>
        <w:widowControl w:val="0"/>
        <w:kinsoku/>
        <w:wordWrap/>
        <w:overflowPunct/>
        <w:topLinePunct w:val="0"/>
        <w:autoSpaceDE/>
        <w:autoSpaceDN/>
        <w:bidi w:val="0"/>
        <w:adjustRightInd/>
        <w:spacing w:line="560" w:lineRule="exact"/>
        <w:ind w:right="624" w:firstLine="611" w:firstLineChars="196"/>
        <w:jc w:val="center"/>
        <w:textAlignment w:val="auto"/>
        <w:rPr>
          <w:rFonts w:ascii="仿宋_GB2312" w:hAnsi="穝灿砰" w:eastAsia="仿宋_GB2312"/>
          <w:spacing w:val="-4"/>
          <w:sz w:val="32"/>
          <w:szCs w:val="44"/>
          <w:highlight w:val="none"/>
        </w:rPr>
      </w:pPr>
      <w:r>
        <w:rPr>
          <w:rFonts w:hint="eastAsia" w:ascii="仿宋_GB2312" w:hAnsi="穝灿砰" w:eastAsia="仿宋_GB2312"/>
          <w:spacing w:val="-4"/>
          <w:sz w:val="32"/>
          <w:szCs w:val="44"/>
          <w:highlight w:val="none"/>
        </w:rPr>
        <w:t xml:space="preserve">                     </w:t>
      </w:r>
      <w:r>
        <w:rPr>
          <w:rFonts w:hint="eastAsia" w:ascii="仿宋_GB2312" w:hAnsi="穝灿砰" w:eastAsia="仿宋_GB2312"/>
          <w:spacing w:val="-4"/>
          <w:sz w:val="32"/>
          <w:szCs w:val="44"/>
          <w:highlight w:val="none"/>
          <w:lang w:val="en-US" w:eastAsia="zh-CN"/>
        </w:rPr>
        <w:t xml:space="preserve">                         </w:t>
      </w:r>
      <w:r>
        <w:rPr>
          <w:rFonts w:hint="eastAsia" w:ascii="仿宋_GB2312" w:hAnsi="穝灿砰" w:eastAsia="仿宋_GB2312"/>
          <w:spacing w:val="-4"/>
          <w:sz w:val="32"/>
          <w:szCs w:val="44"/>
          <w:highlight w:val="none"/>
        </w:rPr>
        <w:t xml:space="preserve"> </w:t>
      </w:r>
      <w:r>
        <w:rPr>
          <w:rFonts w:hint="eastAsia" w:ascii="仿宋_GB2312" w:hAnsi="穝灿砰" w:eastAsia="仿宋_GB2312"/>
          <w:spacing w:val="-4"/>
          <w:sz w:val="32"/>
          <w:szCs w:val="44"/>
          <w:highlight w:val="none"/>
          <w:lang w:eastAsia="zh-CN"/>
        </w:rPr>
        <w:t>上饶</w:t>
      </w:r>
      <w:r>
        <w:rPr>
          <w:rFonts w:hint="eastAsia" w:ascii="仿宋_GB2312" w:hAnsi="穝灿砰" w:eastAsia="仿宋_GB2312"/>
          <w:spacing w:val="-4"/>
          <w:sz w:val="32"/>
          <w:szCs w:val="44"/>
          <w:highlight w:val="none"/>
        </w:rPr>
        <w:t>市</w:t>
      </w:r>
      <w:r>
        <w:rPr>
          <w:rFonts w:hint="eastAsia" w:ascii="仿宋_GB2312" w:hAnsi="穝灿砰" w:eastAsia="仿宋_GB2312"/>
          <w:spacing w:val="-4"/>
          <w:sz w:val="32"/>
          <w:szCs w:val="44"/>
          <w:highlight w:val="none"/>
          <w:lang w:eastAsia="zh-CN"/>
        </w:rPr>
        <w:t>信州区</w:t>
      </w:r>
      <w:r>
        <w:rPr>
          <w:rFonts w:hint="eastAsia" w:ascii="仿宋_GB2312" w:hAnsi="穝灿砰" w:eastAsia="仿宋_GB2312"/>
          <w:spacing w:val="-4"/>
          <w:sz w:val="32"/>
          <w:szCs w:val="44"/>
          <w:highlight w:val="none"/>
        </w:rPr>
        <w:t>人民政府</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仿宋_GB2312" w:hAnsi="穝灿砰" w:eastAsia="仿宋_GB2312"/>
          <w:sz w:val="32"/>
          <w:szCs w:val="36"/>
          <w:highlight w:val="none"/>
          <w:lang w:val="en-US"/>
        </w:rPr>
        <w:sectPr>
          <w:pgSz w:w="16838" w:h="23811"/>
          <w:pgMar w:top="1440" w:right="1800" w:bottom="1440" w:left="1800" w:header="851" w:footer="992" w:gutter="0"/>
          <w:pgNumType w:fmt="decimal"/>
          <w:cols w:space="720" w:num="1"/>
          <w:docGrid w:type="lines" w:linePitch="312" w:charSpace="0"/>
        </w:sectPr>
      </w:pPr>
      <w:r>
        <w:rPr>
          <w:rFonts w:ascii="仿宋_GB2312" w:hAnsi="穝灿砰" w:eastAsia="仿宋_GB2312"/>
          <w:spacing w:val="-3"/>
          <w:sz w:val="32"/>
          <w:szCs w:val="36"/>
          <w:highlight w:val="none"/>
        </w:rPr>
        <w:tab/>
      </w:r>
      <w:r>
        <w:rPr>
          <w:rFonts w:ascii="仿宋_GB2312" w:hAnsi="穝灿砰" w:eastAsia="仿宋_GB2312"/>
          <w:spacing w:val="-3"/>
          <w:sz w:val="32"/>
          <w:szCs w:val="36"/>
          <w:highlight w:val="none"/>
        </w:rPr>
        <w:tab/>
      </w:r>
      <w:r>
        <w:rPr>
          <w:rFonts w:ascii="仿宋_GB2312" w:hAnsi="穝灿砰" w:eastAsia="仿宋_GB2312"/>
          <w:spacing w:val="-3"/>
          <w:sz w:val="32"/>
          <w:szCs w:val="36"/>
          <w:highlight w:val="none"/>
        </w:rPr>
        <w:tab/>
      </w:r>
      <w:r>
        <w:rPr>
          <w:rFonts w:ascii="仿宋_GB2312" w:hAnsi="穝灿砰" w:eastAsia="仿宋_GB2312"/>
          <w:spacing w:val="-3"/>
          <w:sz w:val="32"/>
          <w:szCs w:val="36"/>
          <w:highlight w:val="none"/>
        </w:rPr>
        <w:tab/>
      </w:r>
      <w:r>
        <w:rPr>
          <w:rFonts w:ascii="仿宋_GB2312" w:hAnsi="穝灿砰" w:eastAsia="仿宋_GB2312"/>
          <w:spacing w:val="-3"/>
          <w:sz w:val="32"/>
          <w:szCs w:val="36"/>
          <w:highlight w:val="none"/>
        </w:rPr>
        <w:tab/>
      </w:r>
      <w:r>
        <w:rPr>
          <w:rFonts w:ascii="仿宋_GB2312" w:hAnsi="穝灿砰" w:eastAsia="仿宋_GB2312"/>
          <w:spacing w:val="-4"/>
          <w:sz w:val="32"/>
          <w:szCs w:val="44"/>
          <w:highlight w:val="none"/>
        </w:rPr>
        <w:tab/>
      </w:r>
      <w:r>
        <w:rPr>
          <w:rFonts w:ascii="仿宋_GB2312" w:hAnsi="穝灿砰" w:eastAsia="仿宋_GB2312"/>
          <w:spacing w:val="-4"/>
          <w:sz w:val="32"/>
          <w:szCs w:val="44"/>
          <w:highlight w:val="none"/>
        </w:rPr>
        <w:tab/>
      </w:r>
      <w:r>
        <w:rPr>
          <w:rFonts w:ascii="仿宋_GB2312" w:hAnsi="穝灿砰" w:eastAsia="仿宋_GB2312"/>
          <w:spacing w:val="-4"/>
          <w:sz w:val="32"/>
          <w:szCs w:val="44"/>
          <w:highlight w:val="none"/>
        </w:rPr>
        <w:tab/>
      </w:r>
      <w:r>
        <w:rPr>
          <w:rFonts w:ascii="仿宋_GB2312" w:hAnsi="穝灿砰" w:eastAsia="仿宋_GB2312"/>
          <w:spacing w:val="-4"/>
          <w:sz w:val="32"/>
          <w:szCs w:val="44"/>
          <w:highlight w:val="none"/>
        </w:rPr>
        <w:tab/>
      </w:r>
      <w:r>
        <w:rPr>
          <w:rFonts w:hint="eastAsia" w:ascii="仿宋_GB2312" w:hAnsi="穝灿砰" w:eastAsia="仿宋_GB2312"/>
          <w:spacing w:val="-4"/>
          <w:sz w:val="32"/>
          <w:szCs w:val="44"/>
          <w:highlight w:val="none"/>
          <w:lang w:val="en-US" w:eastAsia="zh-CN"/>
        </w:rPr>
        <w:t xml:space="preserve">                    </w:t>
      </w:r>
      <w:r>
        <w:rPr>
          <w:rFonts w:hint="eastAsia" w:ascii="仿宋_GB2312" w:hAnsi="穝灿砰" w:eastAsia="仿宋_GB2312"/>
          <w:spacing w:val="-4"/>
          <w:sz w:val="32"/>
          <w:szCs w:val="44"/>
          <w:highlight w:val="none"/>
        </w:rPr>
        <w:t xml:space="preserve"> </w:t>
      </w:r>
      <w:r>
        <w:rPr>
          <w:rFonts w:hint="eastAsia" w:ascii="仿宋_GB2312" w:hAnsi="穝灿砰" w:eastAsia="仿宋_GB2312"/>
          <w:spacing w:val="-4"/>
          <w:sz w:val="32"/>
          <w:szCs w:val="44"/>
          <w:highlight w:val="none"/>
          <w:lang w:val="en-US" w:eastAsia="zh-CN"/>
        </w:rPr>
        <w:t>2023</w:t>
      </w:r>
      <w:r>
        <w:rPr>
          <w:rFonts w:hint="eastAsia" w:ascii="仿宋_GB2312" w:hAnsi="穝灿砰" w:eastAsia="仿宋_GB2312"/>
          <w:sz w:val="32"/>
          <w:szCs w:val="36"/>
          <w:highlight w:val="none"/>
        </w:rPr>
        <w:t>年</w:t>
      </w:r>
      <w:r>
        <w:rPr>
          <w:rFonts w:hint="eastAsia" w:ascii="仿宋_GB2312" w:hAnsi="穝灿砰" w:eastAsia="仿宋_GB2312"/>
          <w:sz w:val="32"/>
          <w:szCs w:val="36"/>
          <w:highlight w:val="none"/>
          <w:lang w:val="en-US" w:eastAsia="zh-CN"/>
        </w:rPr>
        <w:t>10</w:t>
      </w:r>
      <w:r>
        <w:rPr>
          <w:rFonts w:hint="eastAsia" w:ascii="仿宋_GB2312" w:hAnsi="穝灿砰" w:eastAsia="仿宋_GB2312"/>
          <w:sz w:val="32"/>
          <w:szCs w:val="36"/>
          <w:highlight w:val="none"/>
        </w:rPr>
        <w:t>月</w:t>
      </w:r>
      <w:r>
        <w:rPr>
          <w:rFonts w:hint="eastAsia" w:ascii="仿宋_GB2312" w:hAnsi="穝灿砰" w:eastAsia="仿宋_GB2312"/>
          <w:sz w:val="32"/>
          <w:szCs w:val="36"/>
          <w:highlight w:val="none"/>
          <w:lang w:val="en-US" w:eastAsia="zh-CN"/>
        </w:rPr>
        <w:t>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穝灿砰">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CC7971"/>
    <w:multiLevelType w:val="singleLevel"/>
    <w:tmpl w:val="DDCC797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iNWUyZGNjNzhmOTQyYzhiY2RkNDkyODVmMzdhODkifQ=="/>
  </w:docVars>
  <w:rsids>
    <w:rsidRoot w:val="207D4D21"/>
    <w:rsid w:val="03D951E0"/>
    <w:rsid w:val="0DD93818"/>
    <w:rsid w:val="1B5153BE"/>
    <w:rsid w:val="207D4D21"/>
    <w:rsid w:val="37DE5C31"/>
    <w:rsid w:val="46CF548E"/>
    <w:rsid w:val="4BC50557"/>
    <w:rsid w:val="4FE63B3B"/>
    <w:rsid w:val="6BB62CC4"/>
    <w:rsid w:val="6C34644F"/>
    <w:rsid w:val="6FD9121C"/>
    <w:rsid w:val="77375BCD"/>
    <w:rsid w:val="9D4D53E6"/>
    <w:rsid w:val="BCFF5666"/>
    <w:rsid w:val="BEFC36DD"/>
    <w:rsid w:val="FFFD4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Times New Roman"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rPr>
  </w:style>
  <w:style w:type="paragraph" w:customStyle="1" w:styleId="5">
    <w:name w:val="0"/>
    <w:basedOn w:val="1"/>
    <w:qFormat/>
    <w:uiPriority w:val="0"/>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2023-09-15T10:11:00Z</dcterms:created>
  <dc:creator>徐康</dc:creator>
  <cp:lastModifiedBy>Administrator</cp:lastModifiedBy>
  <cp:lastPrinted>2023-10-07T03:19:00Z</cp:lastPrinted>
  <dcterms:modified xsi:type="dcterms:W3CDTF">2023-11-09T02:42:25Z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4792C7C1875941F0A0C6A6BE80AEEC0E_13</vt:lpwstr>
  </property>
</Properties>
</file>