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keepLines/>
        <w:shd w:val="clear" w:color="auto" w:fill="auto"/>
        <w:tabs>
          <w:tab w:val="left" w:leader="underscore" w:pos="2043"/>
          <w:tab w:val="left" w:leader="underscore" w:pos="6469"/>
        </w:tabs>
        <w:spacing w:after="0" w:line="240" w:lineRule="exact"/>
        <w:jc w:val="both"/>
        <w:outlineLvl w:val="9"/>
        <w:rPr>
          <w:rFonts w:ascii="宋体" w:hAnsi="宋体" w:eastAsia="宋体" w:cs="宋体"/>
          <w:spacing w:val="20"/>
          <w:sz w:val="32"/>
          <w:szCs w:val="32"/>
          <w:lang w:val="en-US" w:eastAsia="zh-CN"/>
        </w:rPr>
      </w:pPr>
      <w:r>
        <w:rPr>
          <w:rFonts w:hint="eastAsia" w:ascii="宋体" w:hAnsi="宋体" w:eastAsia="宋体" w:cs="宋体"/>
          <w:spacing w:val="20"/>
          <w:sz w:val="32"/>
          <w:szCs w:val="32"/>
          <w:lang w:val="en-US" w:eastAsia="zh-CN"/>
        </w:rPr>
        <w:t xml:space="preserve">           </w:t>
      </w:r>
    </w:p>
    <w:p>
      <w:pPr>
        <w:pStyle w:val="10"/>
        <w:shd w:val="clear" w:color="auto" w:fill="auto"/>
        <w:tabs>
          <w:tab w:val="left" w:leader="underscore" w:pos="4145"/>
        </w:tabs>
        <w:spacing w:before="0" w:after="7" w:line="520" w:lineRule="exact"/>
        <w:ind w:firstLine="0"/>
        <w:rPr>
          <w:rFonts w:ascii="方正大标宋_GBK" w:hAnsi="宋体" w:eastAsia="方正大标宋_GBK" w:cs="宋体"/>
          <w:b/>
          <w:bCs/>
          <w:sz w:val="44"/>
          <w:szCs w:val="44"/>
        </w:rPr>
      </w:pPr>
      <w:bookmarkStart w:id="0" w:name="bookmark20"/>
      <w:r>
        <w:rPr>
          <w:rFonts w:hint="eastAsia" w:ascii="方正大标宋_GBK" w:hAnsi="宋体" w:eastAsia="方正大标宋_GBK" w:cs="宋体"/>
          <w:b/>
          <w:bCs/>
          <w:sz w:val="44"/>
          <w:szCs w:val="44"/>
        </w:rPr>
        <w:t>鄱阳县</w:t>
      </w:r>
      <w:bookmarkEnd w:id="0"/>
      <w:r>
        <w:rPr>
          <w:rFonts w:hint="eastAsia" w:ascii="方正大标宋_GBK" w:hAnsi="宋体" w:eastAsia="方正大标宋_GBK" w:cs="宋体"/>
          <w:b/>
          <w:bCs/>
          <w:sz w:val="44"/>
          <w:szCs w:val="44"/>
          <w:lang w:val="en-US" w:eastAsia="zh-CN"/>
        </w:rPr>
        <w:t>人民政府</w:t>
      </w:r>
      <w:r>
        <w:rPr>
          <w:rFonts w:ascii="方正大标宋_GBK" w:hAnsi="宋体" w:eastAsia="方正大标宋_GBK" w:cs="宋体"/>
          <w:b/>
          <w:bCs/>
          <w:sz w:val="44"/>
          <w:szCs w:val="44"/>
        </w:rPr>
        <w:t>征收土地补偿安置方案公告</w:t>
      </w:r>
    </w:p>
    <w:p>
      <w:pPr>
        <w:pStyle w:val="10"/>
        <w:shd w:val="clear" w:color="auto" w:fill="auto"/>
        <w:tabs>
          <w:tab w:val="left" w:leader="underscore" w:pos="4145"/>
        </w:tabs>
        <w:spacing w:before="0" w:after="7" w:line="480" w:lineRule="exact"/>
        <w:ind w:firstLine="640" w:firstLineChars="200"/>
        <w:jc w:val="left"/>
        <w:rPr>
          <w:rFonts w:ascii="宋体" w:hAnsi="宋体" w:eastAsia="宋体" w:cs="宋体"/>
          <w:sz w:val="32"/>
          <w:szCs w:val="32"/>
          <w:lang w:eastAsia="zh-CN"/>
        </w:rPr>
      </w:pPr>
      <w:r>
        <w:rPr>
          <w:rFonts w:hint="eastAsia"/>
          <w:lang w:val="en-US" w:eastAsia="zh-CN"/>
        </w:rPr>
        <w:t xml:space="preserve">               </w:t>
      </w:r>
    </w:p>
    <w:p>
      <w:pPr>
        <w:keepNext w:val="0"/>
        <w:keepLines w:val="0"/>
        <w:pageBreakBefore w:val="0"/>
        <w:kinsoku/>
        <w:wordWrap/>
        <w:overflowPunct/>
        <w:topLinePunct w:val="0"/>
        <w:autoSpaceDE/>
        <w:autoSpaceDN/>
        <w:bidi w:val="0"/>
        <w:adjustRightInd/>
        <w:snapToGrid/>
        <w:spacing w:line="400" w:lineRule="exact"/>
        <w:ind w:firstLine="616" w:firstLineChars="200"/>
        <w:contextualSpacing/>
        <w:jc w:val="both"/>
        <w:textAlignment w:val="auto"/>
        <w:rPr>
          <w:rFonts w:ascii="仿宋_GB2312" w:hAnsi="Times New Roman" w:eastAsia="仿宋_GB2312" w:cs="Times New Roman"/>
          <w:color w:val="auto"/>
          <w:spacing w:val="-6"/>
          <w:kern w:val="2"/>
          <w:sz w:val="32"/>
          <w:szCs w:val="32"/>
          <w:lang w:val="en-US" w:eastAsia="zh-CN"/>
        </w:rPr>
      </w:pPr>
      <w:r>
        <w:rPr>
          <w:rFonts w:hint="eastAsia" w:ascii="仿宋_GB2312" w:eastAsia="仿宋_GB2312" w:cs="仿宋_GB2312"/>
          <w:spacing w:val="-6"/>
          <w:sz w:val="32"/>
          <w:szCs w:val="32"/>
          <w:lang w:val="en-US" w:eastAsia="zh-CN"/>
        </w:rPr>
        <w:t>鄱阳县G236国道挂线</w:t>
      </w:r>
      <w:r>
        <w:rPr>
          <w:rFonts w:hint="eastAsia" w:ascii="仿宋_GB2312" w:hAnsi="Times New Roman" w:eastAsia="仿宋_GB2312" w:cs="Times New Roman"/>
          <w:color w:val="auto"/>
          <w:spacing w:val="-6"/>
          <w:kern w:val="2"/>
          <w:sz w:val="32"/>
          <w:szCs w:val="32"/>
          <w:lang w:val="en-US" w:eastAsia="zh-CN"/>
        </w:rPr>
        <w:t>项目</w:t>
      </w:r>
      <w:r>
        <w:rPr>
          <w:rFonts w:ascii="仿宋_GB2312" w:hAnsi="Times New Roman" w:eastAsia="仿宋_GB2312" w:cs="Times New Roman"/>
          <w:color w:val="auto"/>
          <w:spacing w:val="-6"/>
          <w:kern w:val="2"/>
          <w:sz w:val="32"/>
          <w:szCs w:val="32"/>
          <w:lang w:val="en-US" w:eastAsia="zh-CN"/>
        </w:rPr>
        <w:t>建设范围内的土地征收补偿安置方案，经</w:t>
      </w:r>
      <w:r>
        <w:rPr>
          <w:rFonts w:hint="eastAsia" w:ascii="仿宋_GB2312" w:hAnsi="Times New Roman" w:eastAsia="仿宋_GB2312" w:cs="Times New Roman"/>
          <w:color w:val="auto"/>
          <w:spacing w:val="-6"/>
          <w:kern w:val="2"/>
          <w:sz w:val="32"/>
          <w:szCs w:val="32"/>
          <w:lang w:val="en-US" w:eastAsia="zh-CN"/>
        </w:rPr>
        <w:t>鄱阳</w:t>
      </w:r>
      <w:r>
        <w:rPr>
          <w:rFonts w:ascii="仿宋_GB2312" w:hAnsi="Times New Roman" w:eastAsia="仿宋_GB2312" w:cs="Times New Roman"/>
          <w:color w:val="auto"/>
          <w:spacing w:val="-6"/>
          <w:kern w:val="2"/>
          <w:sz w:val="32"/>
          <w:szCs w:val="32"/>
          <w:lang w:val="en-US" w:eastAsia="zh-CN"/>
        </w:rPr>
        <w:t>县人民政府同意，现公告如下：</w:t>
      </w:r>
    </w:p>
    <w:p>
      <w:pPr>
        <w:keepNext w:val="0"/>
        <w:keepLines w:val="0"/>
        <w:pageBreakBefore w:val="0"/>
        <w:kinsoku/>
        <w:wordWrap/>
        <w:overflowPunct/>
        <w:topLinePunct w:val="0"/>
        <w:autoSpaceDE/>
        <w:autoSpaceDN/>
        <w:bidi w:val="0"/>
        <w:adjustRightInd/>
        <w:snapToGrid/>
        <w:spacing w:line="400" w:lineRule="exact"/>
        <w:ind w:firstLine="643" w:firstLineChars="200"/>
        <w:contextualSpacing/>
        <w:jc w:val="both"/>
        <w:textAlignment w:val="auto"/>
        <w:rPr>
          <w:rFonts w:ascii="黑体" w:hAnsi="黑体" w:eastAsia="黑体" w:cs="Times New Roman"/>
          <w:b/>
          <w:color w:val="auto"/>
          <w:kern w:val="2"/>
          <w:sz w:val="32"/>
          <w:szCs w:val="32"/>
          <w:lang w:val="en-US" w:eastAsia="zh-CN"/>
        </w:rPr>
      </w:pPr>
      <w:r>
        <w:rPr>
          <w:rFonts w:hint="eastAsia" w:ascii="黑体" w:hAnsi="黑体" w:eastAsia="黑体" w:cs="Times New Roman"/>
          <w:b/>
          <w:color w:val="auto"/>
          <w:kern w:val="2"/>
          <w:sz w:val="32"/>
          <w:szCs w:val="32"/>
          <w:lang w:val="en-US" w:eastAsia="zh-CN"/>
        </w:rPr>
        <w:t>一、规划用途</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ascii="仿宋_GB2312" w:hAnsi="Arial" w:eastAsia="仿宋_GB2312"/>
          <w:sz w:val="32"/>
          <w:szCs w:val="32"/>
          <w:lang w:eastAsia="zh-CN"/>
        </w:rPr>
      </w:pPr>
      <w:r>
        <w:rPr>
          <w:rFonts w:hint="eastAsia" w:ascii="仿宋_GB2312" w:hAnsi="Arial" w:eastAsia="仿宋_GB2312"/>
          <w:sz w:val="32"/>
          <w:szCs w:val="32"/>
        </w:rPr>
        <w:t>征收</w:t>
      </w:r>
      <w:r>
        <w:rPr>
          <w:rFonts w:hint="eastAsia" w:ascii="仿宋_GB2312" w:hAnsi="Arial" w:eastAsia="仿宋_GB2312"/>
          <w:sz w:val="32"/>
          <w:szCs w:val="32"/>
          <w:lang w:val="en-US" w:eastAsia="zh-CN"/>
        </w:rPr>
        <w:t>土地规划用途</w:t>
      </w:r>
      <w:r>
        <w:rPr>
          <w:rFonts w:hint="eastAsia" w:ascii="仿宋_GB2312" w:hAnsi="Arial" w:eastAsia="仿宋_GB2312"/>
          <w:sz w:val="32"/>
          <w:szCs w:val="32"/>
          <w:highlight w:val="none"/>
          <w:lang w:val="en-US" w:eastAsia="zh-CN"/>
        </w:rPr>
        <w:t>为</w:t>
      </w:r>
      <w:r>
        <w:rPr>
          <w:rFonts w:hint="eastAsia" w:ascii="仿宋_GB2312" w:hAnsi="Times New Roman" w:eastAsia="仿宋_GB2312" w:cs="Times New Roman"/>
          <w:color w:val="auto"/>
          <w:kern w:val="2"/>
          <w:sz w:val="32"/>
          <w:szCs w:val="32"/>
          <w:highlight w:val="none"/>
          <w:lang w:val="en-US" w:eastAsia="zh-CN"/>
        </w:rPr>
        <w:t>公路</w:t>
      </w:r>
      <w:r>
        <w:rPr>
          <w:rFonts w:ascii="仿宋_GB2312" w:hAnsi="Times New Roman" w:eastAsia="仿宋_GB2312" w:cs="Times New Roman"/>
          <w:color w:val="auto"/>
          <w:kern w:val="2"/>
          <w:sz w:val="32"/>
          <w:szCs w:val="32"/>
          <w:highlight w:val="none"/>
          <w:lang w:val="en-US" w:eastAsia="zh-CN"/>
        </w:rPr>
        <w:t>用地</w:t>
      </w:r>
      <w:r>
        <w:rPr>
          <w:rFonts w:hint="eastAsia" w:ascii="仿宋_GB2312" w:hAnsi="Arial" w:eastAsia="仿宋_GB2312"/>
          <w:sz w:val="32"/>
          <w:szCs w:val="32"/>
        </w:rPr>
        <w:t>。</w:t>
      </w:r>
    </w:p>
    <w:p>
      <w:pPr>
        <w:pStyle w:val="18"/>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643" w:firstLineChars="200"/>
        <w:jc w:val="both"/>
        <w:textAlignment w:val="auto"/>
        <w:rPr>
          <w:rFonts w:ascii="黑体" w:hAnsi="黑体" w:eastAsia="黑体" w:cs="Times New Roman"/>
          <w:b/>
          <w:color w:val="auto"/>
          <w:kern w:val="2"/>
          <w:sz w:val="32"/>
          <w:szCs w:val="32"/>
          <w:lang w:val="en-US" w:eastAsia="zh-CN"/>
        </w:rPr>
      </w:pPr>
      <w:r>
        <w:rPr>
          <w:rFonts w:hint="eastAsia" w:ascii="黑体" w:hAnsi="黑体" w:eastAsia="黑体"/>
          <w:b/>
          <w:sz w:val="32"/>
          <w:szCs w:val="32"/>
        </w:rPr>
        <w:t>二、征地</w:t>
      </w:r>
      <w:r>
        <w:rPr>
          <w:rFonts w:hint="eastAsia" w:ascii="黑体" w:hAnsi="黑体" w:eastAsia="黑体"/>
          <w:b/>
          <w:sz w:val="32"/>
          <w:szCs w:val="32"/>
          <w:lang w:val="en-US" w:eastAsia="zh-CN"/>
        </w:rPr>
        <w:t>位置及主要</w:t>
      </w:r>
      <w:r>
        <w:rPr>
          <w:rFonts w:hint="eastAsia" w:ascii="黑体" w:hAnsi="黑体" w:eastAsia="黑体" w:cs="Times New Roman"/>
          <w:b/>
          <w:color w:val="auto"/>
          <w:kern w:val="2"/>
          <w:sz w:val="32"/>
          <w:szCs w:val="32"/>
          <w:lang w:val="en-US" w:eastAsia="zh-CN"/>
        </w:rPr>
        <w:t>地类</w:t>
      </w:r>
    </w:p>
    <w:p>
      <w:pPr>
        <w:keepNext w:val="0"/>
        <w:keepLines w:val="0"/>
        <w:pageBreakBefore w:val="0"/>
        <w:kinsoku/>
        <w:wordWrap/>
        <w:overflowPunct/>
        <w:topLinePunct w:val="0"/>
        <w:autoSpaceDE/>
        <w:autoSpaceDN/>
        <w:bidi w:val="0"/>
        <w:adjustRightInd/>
        <w:snapToGrid/>
        <w:spacing w:line="400" w:lineRule="exact"/>
        <w:ind w:firstLine="616" w:firstLineChars="200"/>
        <w:contextualSpacing/>
        <w:jc w:val="both"/>
        <w:textAlignment w:val="auto"/>
        <w:rPr>
          <w:rFonts w:ascii="仿宋_GB2312" w:hAnsi="Times New Roman" w:eastAsia="仿宋_GB2312" w:cs="Times New Roman"/>
          <w:color w:val="auto"/>
          <w:kern w:val="2"/>
          <w:sz w:val="32"/>
          <w:szCs w:val="32"/>
          <w:lang w:val="en-US" w:eastAsia="zh-CN"/>
        </w:rPr>
      </w:pPr>
      <w:r>
        <w:rPr>
          <w:rFonts w:hint="eastAsia" w:ascii="仿宋_GB2312" w:hAnsi="Times New Roman" w:eastAsia="仿宋_GB2312" w:cs="Times New Roman"/>
          <w:color w:val="auto"/>
          <w:spacing w:val="-6"/>
          <w:kern w:val="2"/>
          <w:sz w:val="32"/>
          <w:szCs w:val="32"/>
          <w:lang w:val="en-US" w:eastAsia="zh-CN"/>
        </w:rPr>
        <w:t>（一）经勘测定界及调查确认，本次拟征收土地范围位于鄱阳镇芝田村葵花岭组、西占组、叶谷下组，江家岭村江家岭组，任家村东江组、东占组、余家咀组。具体范围四至详见征地红线图。</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ascii="仿宋_GB2312" w:hAnsi="Times New Roman" w:eastAsia="仿宋_GB2312" w:cs="Times New Roman"/>
          <w:color w:val="auto"/>
          <w:kern w:val="2"/>
          <w:sz w:val="32"/>
          <w:szCs w:val="32"/>
          <w:lang w:val="en-US" w:eastAsia="zh-CN"/>
        </w:rPr>
      </w:pPr>
      <w:r>
        <w:rPr>
          <w:rFonts w:hint="eastAsia" w:ascii="仿宋_GB2312" w:hAnsi="Times New Roman" w:eastAsia="仿宋_GB2312" w:cs="Times New Roman"/>
          <w:color w:val="auto"/>
          <w:kern w:val="2"/>
          <w:sz w:val="32"/>
          <w:szCs w:val="32"/>
          <w:lang w:val="en-US" w:eastAsia="zh-CN"/>
        </w:rPr>
        <w:t>（二）主要地</w:t>
      </w:r>
      <w:r>
        <w:rPr>
          <w:rFonts w:hint="eastAsia" w:ascii="仿宋_GB2312" w:hAnsi="Times New Roman" w:eastAsia="仿宋_GB2312" w:cs="Times New Roman"/>
          <w:color w:val="auto"/>
          <w:kern w:val="2"/>
          <w:sz w:val="32"/>
          <w:szCs w:val="32"/>
          <w:lang w:val="en-US"/>
        </w:rPr>
        <w:t>类：</w:t>
      </w:r>
      <w:r>
        <w:rPr>
          <w:rFonts w:hint="eastAsia" w:ascii="仿宋_GB2312" w:hAnsi="Times New Roman" w:eastAsia="仿宋_GB2312" w:cs="Times New Roman"/>
          <w:color w:val="auto"/>
          <w:kern w:val="2"/>
          <w:sz w:val="32"/>
          <w:szCs w:val="32"/>
          <w:lang w:val="en-US" w:eastAsia="zh-CN"/>
        </w:rPr>
        <w:t>水田、旱地、村庄、林地</w:t>
      </w:r>
      <w:r>
        <w:rPr>
          <w:rFonts w:hint="eastAsia" w:ascii="仿宋_GB2312" w:hAnsi="Times New Roman" w:eastAsia="仿宋_GB2312" w:cs="Times New Roman"/>
          <w:color w:val="auto"/>
          <w:kern w:val="2"/>
          <w:sz w:val="32"/>
          <w:szCs w:val="32"/>
          <w:lang w:val="en-US"/>
        </w:rPr>
        <w:t>等。</w:t>
      </w:r>
    </w:p>
    <w:p>
      <w:pPr>
        <w:keepNext w:val="0"/>
        <w:keepLines w:val="0"/>
        <w:pageBreakBefore w:val="0"/>
        <w:kinsoku/>
        <w:wordWrap/>
        <w:overflowPunct/>
        <w:topLinePunct w:val="0"/>
        <w:autoSpaceDE/>
        <w:autoSpaceDN/>
        <w:bidi w:val="0"/>
        <w:adjustRightInd/>
        <w:snapToGrid/>
        <w:spacing w:line="400" w:lineRule="exact"/>
        <w:ind w:firstLine="643" w:firstLineChars="200"/>
        <w:contextualSpacing/>
        <w:textAlignment w:val="auto"/>
        <w:rPr>
          <w:rFonts w:ascii="黑体" w:hAnsi="黑体" w:eastAsia="黑体"/>
          <w:b/>
          <w:sz w:val="32"/>
          <w:szCs w:val="32"/>
        </w:rPr>
      </w:pPr>
      <w:r>
        <w:rPr>
          <w:rFonts w:hint="eastAsia" w:ascii="黑体" w:hAnsi="黑体" w:eastAsia="黑体"/>
          <w:b/>
          <w:sz w:val="32"/>
          <w:szCs w:val="32"/>
        </w:rPr>
        <w:t>三、征地补偿标准</w:t>
      </w:r>
    </w:p>
    <w:p>
      <w:pPr>
        <w:keepNext w:val="0"/>
        <w:keepLines w:val="0"/>
        <w:pageBreakBefore w:val="0"/>
        <w:kinsoku/>
        <w:wordWrap/>
        <w:overflowPunct/>
        <w:topLinePunct w:val="0"/>
        <w:autoSpaceDE/>
        <w:autoSpaceDN/>
        <w:bidi w:val="0"/>
        <w:adjustRightInd/>
        <w:snapToGrid/>
        <w:spacing w:line="400" w:lineRule="exact"/>
        <w:ind w:firstLine="640" w:firstLineChars="200"/>
        <w:contextualSpacing/>
        <w:jc w:val="both"/>
        <w:textAlignment w:val="auto"/>
        <w:rPr>
          <w:rFonts w:ascii="仿宋_GB2312" w:hAnsi="Times New Roman" w:eastAsia="仿宋_GB2312" w:cs="Times New Roman"/>
          <w:color w:val="auto"/>
          <w:kern w:val="2"/>
          <w:sz w:val="32"/>
          <w:szCs w:val="32"/>
          <w:lang w:val="en-US" w:eastAsia="zh-CN"/>
        </w:rPr>
      </w:pPr>
      <w:r>
        <w:rPr>
          <w:rFonts w:hint="eastAsia" w:ascii="仿宋_GB2312" w:eastAsia="仿宋_GB2312"/>
          <w:sz w:val="32"/>
          <w:szCs w:val="32"/>
        </w:rPr>
        <w:t>征收土地补偿（土地补偿费、安置补助费）按照</w:t>
      </w:r>
      <w:r>
        <w:rPr>
          <w:rFonts w:hint="eastAsia" w:ascii="仿宋_GB2312" w:hAnsi="Times New Roman" w:eastAsia="仿宋_GB2312"/>
          <w:sz w:val="32"/>
          <w:szCs w:val="32"/>
        </w:rPr>
        <w:t>《江西省人民政府关于公布全省征地区片综合地价的通知》（赣府字</w:t>
      </w:r>
      <w:r>
        <w:rPr>
          <w:rFonts w:hint="eastAsia" w:ascii="仿宋_GB2312" w:hAnsi="Times New Roman" w:eastAsia="仿宋_GB2312" w:cs="Times New Roman"/>
          <w:color w:val="auto"/>
          <w:kern w:val="2"/>
          <w:sz w:val="32"/>
          <w:szCs w:val="32"/>
          <w:lang w:val="en-US" w:eastAsia="zh-CN"/>
        </w:rPr>
        <w:t>〔2020〕</w:t>
      </w:r>
      <w:r>
        <w:rPr>
          <w:rFonts w:hint="eastAsia" w:ascii="仿宋_GB2312" w:hAnsi="Times New Roman" w:eastAsia="仿宋_GB2312"/>
          <w:sz w:val="32"/>
          <w:szCs w:val="32"/>
        </w:rPr>
        <w:t>9号）</w:t>
      </w:r>
      <w:r>
        <w:rPr>
          <w:rFonts w:hint="eastAsia" w:ascii="仿宋_GB2312" w:eastAsia="仿宋_GB2312"/>
          <w:sz w:val="32"/>
          <w:szCs w:val="32"/>
        </w:rPr>
        <w:t>规定的标准执行，地类以现场实际确认登记为准。</w:t>
      </w:r>
      <w:r>
        <w:rPr>
          <w:rFonts w:ascii="仿宋_GB2312" w:hAnsi="Times New Roman" w:eastAsia="仿宋_GB2312" w:cs="Times New Roman"/>
          <w:color w:val="auto"/>
          <w:kern w:val="2"/>
          <w:sz w:val="32"/>
          <w:szCs w:val="32"/>
          <w:lang w:val="en-US" w:eastAsia="zh-CN"/>
        </w:rPr>
        <w:t>具体补</w:t>
      </w:r>
      <w:r>
        <w:rPr>
          <w:rFonts w:hint="eastAsia" w:ascii="仿宋_GB2312" w:hAnsi="Times New Roman" w:eastAsia="仿宋_GB2312" w:cs="Times New Roman"/>
          <w:color w:val="auto"/>
          <w:kern w:val="2"/>
          <w:sz w:val="32"/>
          <w:szCs w:val="32"/>
          <w:lang w:val="en-US" w:eastAsia="zh-CN"/>
        </w:rPr>
        <w:t>偿情况如下：</w:t>
      </w:r>
    </w:p>
    <w:p>
      <w:pPr>
        <w:keepNext w:val="0"/>
        <w:keepLines w:val="0"/>
        <w:pageBreakBefore w:val="0"/>
        <w:kinsoku/>
        <w:wordWrap/>
        <w:overflowPunct/>
        <w:topLinePunct w:val="0"/>
        <w:autoSpaceDE/>
        <w:autoSpaceDN/>
        <w:bidi w:val="0"/>
        <w:adjustRightInd/>
        <w:snapToGrid/>
        <w:spacing w:line="400" w:lineRule="exact"/>
        <w:ind w:firstLine="616" w:firstLineChars="200"/>
        <w:contextualSpacing/>
        <w:jc w:val="both"/>
        <w:textAlignment w:val="auto"/>
        <w:rPr>
          <w:rFonts w:hint="eastAsia" w:ascii="仿宋_GB2312" w:hAnsi="Times New Roman" w:eastAsia="仿宋_GB2312" w:cs="Times New Roman"/>
          <w:color w:val="auto"/>
          <w:spacing w:val="-6"/>
          <w:kern w:val="2"/>
          <w:sz w:val="32"/>
          <w:szCs w:val="32"/>
          <w:lang w:val="en-US" w:eastAsia="zh-CN"/>
        </w:rPr>
      </w:pPr>
      <w:r>
        <w:rPr>
          <w:rFonts w:hint="eastAsia" w:ascii="仿宋_GB2312" w:hAnsi="Times New Roman" w:eastAsia="仿宋_GB2312" w:cs="Times New Roman"/>
          <w:color w:val="auto"/>
          <w:spacing w:val="-6"/>
          <w:kern w:val="2"/>
          <w:sz w:val="32"/>
          <w:szCs w:val="32"/>
          <w:lang w:val="en-US" w:eastAsia="zh-CN"/>
        </w:rPr>
        <w:t>（一）耕地、园地、人工高产茶园、养殖坑塘、农村建设用地41000元/亩；</w:t>
      </w:r>
    </w:p>
    <w:p>
      <w:pPr>
        <w:keepNext w:val="0"/>
        <w:keepLines w:val="0"/>
        <w:pageBreakBefore w:val="0"/>
        <w:kinsoku/>
        <w:wordWrap/>
        <w:overflowPunct/>
        <w:topLinePunct w:val="0"/>
        <w:autoSpaceDE/>
        <w:autoSpaceDN/>
        <w:bidi w:val="0"/>
        <w:adjustRightInd/>
        <w:snapToGrid/>
        <w:spacing w:line="400" w:lineRule="exact"/>
        <w:ind w:firstLine="616" w:firstLineChars="200"/>
        <w:contextualSpacing/>
        <w:jc w:val="both"/>
        <w:textAlignment w:val="auto"/>
        <w:rPr>
          <w:rFonts w:hint="eastAsia" w:ascii="仿宋_GB2312" w:hAnsi="Times New Roman" w:eastAsia="仿宋_GB2312" w:cs="Times New Roman"/>
          <w:color w:val="auto"/>
          <w:spacing w:val="-6"/>
          <w:kern w:val="2"/>
          <w:sz w:val="32"/>
          <w:szCs w:val="32"/>
          <w:lang w:val="en-US" w:eastAsia="zh-CN"/>
        </w:rPr>
      </w:pPr>
      <w:r>
        <w:rPr>
          <w:rFonts w:hint="eastAsia" w:ascii="仿宋_GB2312" w:hAnsi="Times New Roman" w:eastAsia="仿宋_GB2312" w:cs="Times New Roman"/>
          <w:color w:val="auto"/>
          <w:spacing w:val="-6"/>
          <w:kern w:val="2"/>
          <w:sz w:val="32"/>
          <w:szCs w:val="32"/>
          <w:lang w:val="en-US" w:eastAsia="zh-CN"/>
        </w:rPr>
        <w:t>（二）林地、其他农用地16400元/亩；</w:t>
      </w:r>
    </w:p>
    <w:p>
      <w:pPr>
        <w:keepNext w:val="0"/>
        <w:keepLines w:val="0"/>
        <w:pageBreakBefore w:val="0"/>
        <w:kinsoku/>
        <w:wordWrap/>
        <w:overflowPunct/>
        <w:topLinePunct w:val="0"/>
        <w:autoSpaceDE/>
        <w:autoSpaceDN/>
        <w:bidi w:val="0"/>
        <w:adjustRightInd/>
        <w:snapToGrid/>
        <w:spacing w:line="400" w:lineRule="exact"/>
        <w:ind w:firstLine="616" w:firstLineChars="200"/>
        <w:contextualSpacing/>
        <w:jc w:val="both"/>
        <w:textAlignment w:val="auto"/>
        <w:rPr>
          <w:rFonts w:hint="default" w:ascii="仿宋_GB2312" w:hAnsi="Times New Roman" w:eastAsia="仿宋_GB2312" w:cs="Times New Roman"/>
          <w:color w:val="auto"/>
          <w:spacing w:val="-6"/>
          <w:kern w:val="2"/>
          <w:sz w:val="32"/>
          <w:szCs w:val="32"/>
          <w:lang w:val="en-US" w:eastAsia="zh-CN"/>
        </w:rPr>
      </w:pPr>
      <w:r>
        <w:rPr>
          <w:rFonts w:hint="eastAsia" w:ascii="仿宋_GB2312" w:hAnsi="Times New Roman" w:eastAsia="仿宋_GB2312" w:cs="Times New Roman"/>
          <w:color w:val="auto"/>
          <w:spacing w:val="-6"/>
          <w:kern w:val="2"/>
          <w:sz w:val="32"/>
          <w:szCs w:val="32"/>
          <w:lang w:val="en-US" w:eastAsia="zh-CN"/>
        </w:rPr>
        <w:t>（三）未利用地12300元/亩；</w:t>
      </w:r>
      <w:bookmarkStart w:id="1" w:name="_GoBack"/>
      <w:bookmarkEnd w:id="1"/>
    </w:p>
    <w:p>
      <w:pPr>
        <w:keepNext w:val="0"/>
        <w:keepLines w:val="0"/>
        <w:pageBreakBefore w:val="0"/>
        <w:kinsoku/>
        <w:wordWrap/>
        <w:overflowPunct/>
        <w:topLinePunct w:val="0"/>
        <w:autoSpaceDE/>
        <w:autoSpaceDN/>
        <w:bidi w:val="0"/>
        <w:adjustRightInd/>
        <w:snapToGrid/>
        <w:spacing w:line="400" w:lineRule="exact"/>
        <w:ind w:firstLine="616" w:firstLineChars="200"/>
        <w:contextualSpacing/>
        <w:jc w:val="both"/>
        <w:textAlignment w:val="auto"/>
        <w:rPr>
          <w:rFonts w:hint="default" w:ascii="仿宋_GB2312" w:hAnsi="Times New Roman" w:eastAsia="仿宋_GB2312" w:cs="Times New Roman"/>
          <w:color w:val="auto"/>
          <w:spacing w:val="-6"/>
          <w:kern w:val="2"/>
          <w:sz w:val="32"/>
          <w:szCs w:val="32"/>
          <w:lang w:val="en-US" w:eastAsia="zh-CN"/>
        </w:rPr>
      </w:pPr>
      <w:r>
        <w:rPr>
          <w:rFonts w:hint="eastAsia" w:ascii="仿宋_GB2312" w:hAnsi="Times New Roman" w:eastAsia="仿宋_GB2312" w:cs="Times New Roman"/>
          <w:color w:val="auto"/>
          <w:spacing w:val="-6"/>
          <w:kern w:val="2"/>
          <w:sz w:val="32"/>
          <w:szCs w:val="32"/>
          <w:lang w:val="en-US" w:eastAsia="zh-CN"/>
        </w:rPr>
        <w:t>（四）国有农用地和未利用地补偿安置标准参照执行；</w:t>
      </w:r>
    </w:p>
    <w:p>
      <w:pPr>
        <w:keepNext w:val="0"/>
        <w:keepLines w:val="0"/>
        <w:pageBreakBefore w:val="0"/>
        <w:kinsoku/>
        <w:wordWrap/>
        <w:overflowPunct/>
        <w:topLinePunct w:val="0"/>
        <w:autoSpaceDE/>
        <w:autoSpaceDN/>
        <w:bidi w:val="0"/>
        <w:adjustRightInd/>
        <w:snapToGrid/>
        <w:spacing w:line="400" w:lineRule="exact"/>
        <w:ind w:firstLine="616" w:firstLineChars="200"/>
        <w:contextualSpacing/>
        <w:jc w:val="both"/>
        <w:textAlignment w:val="auto"/>
        <w:rPr>
          <w:rFonts w:hint="default" w:ascii="仿宋_GB2312" w:hAnsi="Times New Roman" w:eastAsia="仿宋_GB2312" w:cs="Times New Roman"/>
          <w:color w:val="auto"/>
          <w:spacing w:val="-6"/>
          <w:kern w:val="2"/>
          <w:sz w:val="32"/>
          <w:szCs w:val="32"/>
          <w:lang w:val="en-US" w:eastAsia="zh-CN"/>
        </w:rPr>
      </w:pPr>
      <w:r>
        <w:rPr>
          <w:rFonts w:hint="eastAsia" w:ascii="仿宋_GB2312" w:hAnsi="Times New Roman" w:eastAsia="仿宋_GB2312" w:cs="Times New Roman"/>
          <w:color w:val="auto"/>
          <w:spacing w:val="-6"/>
          <w:kern w:val="2"/>
          <w:sz w:val="32"/>
          <w:szCs w:val="32"/>
          <w:lang w:val="en-US" w:eastAsia="zh-CN"/>
        </w:rPr>
        <w:t>（五）其他补偿事项，均按赣府字 〔2020〕9号文件执行。</w:t>
      </w:r>
    </w:p>
    <w:p>
      <w:pPr>
        <w:keepNext w:val="0"/>
        <w:keepLines w:val="0"/>
        <w:pageBreakBefore w:val="0"/>
        <w:kinsoku/>
        <w:wordWrap/>
        <w:overflowPunct/>
        <w:topLinePunct w:val="0"/>
        <w:autoSpaceDE/>
        <w:autoSpaceDN/>
        <w:bidi w:val="0"/>
        <w:adjustRightInd/>
        <w:snapToGrid/>
        <w:spacing w:line="400" w:lineRule="exact"/>
        <w:ind w:firstLine="643" w:firstLineChars="200"/>
        <w:contextualSpacing/>
        <w:textAlignment w:val="auto"/>
        <w:rPr>
          <w:rFonts w:ascii="黑体" w:hAnsi="黑体" w:eastAsia="黑体"/>
          <w:b/>
          <w:sz w:val="32"/>
          <w:szCs w:val="32"/>
        </w:rPr>
      </w:pPr>
      <w:r>
        <w:rPr>
          <w:rFonts w:hint="eastAsia" w:ascii="黑体" w:hAnsi="黑体" w:eastAsia="黑体"/>
          <w:b/>
          <w:sz w:val="32"/>
          <w:szCs w:val="32"/>
          <w:lang w:val="en-US" w:eastAsia="zh-CN"/>
        </w:rPr>
        <w:t>四</w:t>
      </w:r>
      <w:r>
        <w:rPr>
          <w:rFonts w:hint="eastAsia" w:ascii="黑体" w:hAnsi="黑体" w:eastAsia="黑体"/>
          <w:b/>
          <w:sz w:val="32"/>
          <w:szCs w:val="32"/>
        </w:rPr>
        <w:t>、青苗及地上附着物等补偿标准</w:t>
      </w:r>
    </w:p>
    <w:p>
      <w:pPr>
        <w:keepNext w:val="0"/>
        <w:keepLines w:val="0"/>
        <w:pageBreakBefore w:val="0"/>
        <w:kinsoku/>
        <w:wordWrap/>
        <w:overflowPunct/>
        <w:topLinePunct w:val="0"/>
        <w:autoSpaceDE/>
        <w:autoSpaceDN/>
        <w:bidi w:val="0"/>
        <w:adjustRightInd/>
        <w:snapToGrid/>
        <w:spacing w:line="400" w:lineRule="exact"/>
        <w:ind w:firstLine="640" w:firstLineChars="200"/>
        <w:contextualSpacing/>
        <w:jc w:val="both"/>
        <w:textAlignment w:val="auto"/>
        <w:rPr>
          <w:rFonts w:ascii="仿宋_GB2312" w:hAnsi="Times New Roman" w:eastAsia="仿宋_GB2312" w:cs="Times New Roman"/>
          <w:color w:val="auto"/>
          <w:kern w:val="2"/>
          <w:sz w:val="32"/>
          <w:szCs w:val="32"/>
          <w:lang w:val="en-US" w:eastAsia="zh-CN"/>
        </w:rPr>
      </w:pPr>
      <w:r>
        <w:rPr>
          <w:rFonts w:ascii="仿宋_GB2312" w:eastAsia="仿宋_GB2312"/>
          <w:sz w:val="32"/>
          <w:szCs w:val="32"/>
        </w:rPr>
        <w:t>地上青苗和附着物</w:t>
      </w:r>
      <w:r>
        <w:rPr>
          <w:rFonts w:hint="eastAsia" w:ascii="仿宋_GB2312" w:eastAsia="仿宋_GB2312"/>
          <w:sz w:val="32"/>
          <w:szCs w:val="32"/>
        </w:rPr>
        <w:t>等</w:t>
      </w:r>
      <w:r>
        <w:rPr>
          <w:rFonts w:ascii="仿宋_GB2312" w:eastAsia="仿宋_GB2312"/>
          <w:sz w:val="32"/>
          <w:szCs w:val="32"/>
        </w:rPr>
        <w:t>补偿</w:t>
      </w:r>
      <w:r>
        <w:rPr>
          <w:rFonts w:hint="eastAsia" w:ascii="仿宋_GB2312" w:eastAsia="仿宋_GB2312"/>
          <w:sz w:val="32"/>
          <w:szCs w:val="32"/>
        </w:rPr>
        <w:t>按照</w:t>
      </w:r>
      <w:r>
        <w:rPr>
          <w:rFonts w:hint="eastAsia" w:ascii="仿宋_GB2312" w:eastAsia="仿宋_GB2312"/>
          <w:sz w:val="32"/>
          <w:szCs w:val="32"/>
          <w:highlight w:val="none"/>
        </w:rPr>
        <w:t>《鄱阳县人民政府关于调整鄱阳县征地、地上附着物和青苗等补偿标准的通知》</w:t>
      </w:r>
      <w:r>
        <w:rPr>
          <w:rFonts w:hint="eastAsia" w:ascii="仿宋_GB2312" w:hAnsi="Times New Roman" w:eastAsia="仿宋_GB2312"/>
          <w:sz w:val="32"/>
          <w:szCs w:val="32"/>
          <w:highlight w:val="none"/>
        </w:rPr>
        <w:t>（鄱府字</w:t>
      </w:r>
      <w:r>
        <w:rPr>
          <w:rFonts w:hint="eastAsia" w:ascii="仿宋_GB2312" w:hAnsi="Times New Roman" w:eastAsia="仿宋_GB2312" w:cs="Times New Roman"/>
          <w:color w:val="auto"/>
          <w:kern w:val="2"/>
          <w:sz w:val="32"/>
          <w:szCs w:val="32"/>
          <w:lang w:val="en-US" w:eastAsia="zh-CN"/>
        </w:rPr>
        <w:t>〔2015〕</w:t>
      </w:r>
      <w:r>
        <w:rPr>
          <w:rFonts w:hint="eastAsia" w:ascii="仿宋_GB2312" w:hAnsi="Times New Roman" w:eastAsia="仿宋_GB2312"/>
          <w:sz w:val="32"/>
          <w:szCs w:val="32"/>
          <w:highlight w:val="none"/>
        </w:rPr>
        <w:t>112号）</w:t>
      </w:r>
      <w:r>
        <w:rPr>
          <w:rFonts w:hint="eastAsia" w:ascii="仿宋_GB2312" w:eastAsia="仿宋_GB2312"/>
          <w:sz w:val="32"/>
          <w:szCs w:val="32"/>
          <w:highlight w:val="none"/>
        </w:rPr>
        <w:t>规定的标准执行，</w:t>
      </w:r>
      <w:r>
        <w:rPr>
          <w:rFonts w:ascii="仿宋_GB2312" w:hAnsi="Times New Roman" w:eastAsia="仿宋_GB2312" w:cs="Times New Roman"/>
          <w:color w:val="auto"/>
          <w:kern w:val="2"/>
          <w:sz w:val="32"/>
          <w:szCs w:val="32"/>
          <w:highlight w:val="none"/>
          <w:lang w:val="en-US" w:eastAsia="zh-CN"/>
        </w:rPr>
        <w:t>具体补</w:t>
      </w:r>
      <w:r>
        <w:rPr>
          <w:rFonts w:hint="eastAsia" w:ascii="仿宋_GB2312" w:hAnsi="Times New Roman" w:eastAsia="仿宋_GB2312" w:cs="Times New Roman"/>
          <w:color w:val="auto"/>
          <w:kern w:val="2"/>
          <w:sz w:val="32"/>
          <w:szCs w:val="32"/>
          <w:highlight w:val="none"/>
          <w:lang w:val="en-US"/>
        </w:rPr>
        <w:t>偿</w:t>
      </w:r>
      <w:r>
        <w:rPr>
          <w:rFonts w:hint="eastAsia" w:ascii="仿宋_GB2312" w:hAnsi="Times New Roman" w:eastAsia="仿宋_GB2312" w:cs="Times New Roman"/>
          <w:color w:val="auto"/>
          <w:kern w:val="2"/>
          <w:sz w:val="32"/>
          <w:szCs w:val="32"/>
          <w:highlight w:val="none"/>
          <w:lang w:val="en-US" w:eastAsia="zh-CN"/>
        </w:rPr>
        <w:t>标准</w:t>
      </w:r>
      <w:r>
        <w:rPr>
          <w:rFonts w:hint="eastAsia" w:ascii="仿宋_GB2312" w:hAnsi="Times New Roman" w:eastAsia="仿宋_GB2312" w:cs="Times New Roman"/>
          <w:color w:val="auto"/>
          <w:kern w:val="2"/>
          <w:sz w:val="32"/>
          <w:szCs w:val="32"/>
          <w:highlight w:val="none"/>
          <w:lang w:val="en-US"/>
        </w:rPr>
        <w:t>情况如</w:t>
      </w:r>
      <w:r>
        <w:rPr>
          <w:rFonts w:hint="eastAsia" w:ascii="仿宋_GB2312" w:hAnsi="Times New Roman" w:eastAsia="仿宋_GB2312" w:cs="Times New Roman"/>
          <w:color w:val="auto"/>
          <w:kern w:val="2"/>
          <w:sz w:val="32"/>
          <w:szCs w:val="32"/>
          <w:lang w:val="en-US"/>
        </w:rPr>
        <w:t>下：</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一</w:t>
      </w:r>
      <w:r>
        <w:rPr>
          <w:rFonts w:hint="eastAsia" w:ascii="仿宋_GB2312" w:eastAsia="仿宋_GB2312"/>
          <w:sz w:val="32"/>
          <w:szCs w:val="32"/>
          <w:lang w:eastAsia="zh-CN"/>
        </w:rPr>
        <w:t>）</w:t>
      </w:r>
      <w:r>
        <w:rPr>
          <w:rFonts w:hint="eastAsia" w:ascii="仿宋_GB2312" w:eastAsia="仿宋_GB2312"/>
          <w:sz w:val="32"/>
          <w:szCs w:val="32"/>
        </w:rPr>
        <w:t>青苗补偿费：每亩</w:t>
      </w:r>
      <w:r>
        <w:rPr>
          <w:rFonts w:ascii="仿宋_GB2312" w:eastAsia="仿宋_GB2312"/>
          <w:sz w:val="32"/>
          <w:szCs w:val="32"/>
        </w:rPr>
        <w:t>1200</w:t>
      </w:r>
      <w:r>
        <w:rPr>
          <w:rFonts w:hint="eastAsia" w:ascii="仿宋_GB2312" w:eastAsia="仿宋_GB2312"/>
          <w:sz w:val="32"/>
          <w:szCs w:val="32"/>
        </w:rPr>
        <w:t>元；</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二</w:t>
      </w:r>
      <w:r>
        <w:rPr>
          <w:rFonts w:hint="eastAsia" w:ascii="仿宋_GB2312" w:eastAsia="仿宋_GB2312"/>
          <w:sz w:val="32"/>
          <w:szCs w:val="32"/>
          <w:lang w:eastAsia="zh-CN"/>
        </w:rPr>
        <w:t>）</w:t>
      </w:r>
      <w:r>
        <w:rPr>
          <w:rFonts w:hint="eastAsia" w:ascii="仿宋_GB2312" w:eastAsia="仿宋_GB2312"/>
          <w:sz w:val="32"/>
          <w:szCs w:val="32"/>
        </w:rPr>
        <w:t>迁坟费：每穴2000元；</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rPr>
        <w:t>三</w:t>
      </w:r>
      <w:r>
        <w:rPr>
          <w:rFonts w:hint="eastAsia" w:ascii="仿宋_GB2312" w:eastAsia="仿宋_GB2312"/>
          <w:sz w:val="32"/>
          <w:szCs w:val="32"/>
        </w:rPr>
        <w:t>）零星果木：盛果期每棵</w:t>
      </w:r>
      <w:r>
        <w:rPr>
          <w:rFonts w:ascii="仿宋_GB2312" w:eastAsia="仿宋_GB2312"/>
          <w:sz w:val="32"/>
          <w:szCs w:val="32"/>
        </w:rPr>
        <w:t>100</w:t>
      </w:r>
      <w:r>
        <w:rPr>
          <w:rFonts w:hint="eastAsia" w:ascii="仿宋_GB2312" w:eastAsia="仿宋_GB2312"/>
          <w:sz w:val="32"/>
          <w:szCs w:val="32"/>
        </w:rPr>
        <w:t>元，初果期每棵</w:t>
      </w:r>
      <w:r>
        <w:rPr>
          <w:rFonts w:ascii="仿宋_GB2312" w:eastAsia="仿宋_GB2312"/>
          <w:sz w:val="32"/>
          <w:szCs w:val="32"/>
        </w:rPr>
        <w:t>50</w:t>
      </w:r>
      <w:r>
        <w:rPr>
          <w:rFonts w:hint="eastAsia" w:ascii="仿宋_GB2312" w:eastAsia="仿宋_GB2312"/>
          <w:sz w:val="32"/>
          <w:szCs w:val="32"/>
        </w:rPr>
        <w:t>元，未果期每棵</w:t>
      </w:r>
      <w:r>
        <w:rPr>
          <w:rFonts w:ascii="仿宋_GB2312" w:eastAsia="仿宋_GB2312"/>
          <w:sz w:val="32"/>
          <w:szCs w:val="32"/>
        </w:rPr>
        <w:t>30</w:t>
      </w:r>
      <w:r>
        <w:rPr>
          <w:rFonts w:hint="eastAsia" w:ascii="仿宋_GB2312" w:eastAsia="仿宋_GB2312"/>
          <w:sz w:val="32"/>
          <w:szCs w:val="32"/>
        </w:rPr>
        <w:t>元；</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四</w:t>
      </w:r>
      <w:r>
        <w:rPr>
          <w:rFonts w:hint="eastAsia" w:ascii="仿宋_GB2312" w:eastAsia="仿宋_GB2312"/>
          <w:sz w:val="32"/>
          <w:szCs w:val="32"/>
          <w:lang w:eastAsia="zh-CN"/>
        </w:rPr>
        <w:t>）</w:t>
      </w:r>
      <w:r>
        <w:rPr>
          <w:rFonts w:hint="eastAsia" w:ascii="仿宋_GB2312" w:eastAsia="仿宋_GB2312"/>
          <w:sz w:val="32"/>
          <w:szCs w:val="32"/>
        </w:rPr>
        <w:t>零星松杂木：每棵</w:t>
      </w:r>
      <w:r>
        <w:rPr>
          <w:rFonts w:ascii="仿宋_GB2312" w:eastAsia="仿宋_GB2312"/>
          <w:sz w:val="32"/>
          <w:szCs w:val="32"/>
        </w:rPr>
        <w:t>15</w:t>
      </w:r>
      <w:r>
        <w:rPr>
          <w:rFonts w:hint="eastAsia" w:ascii="仿宋_GB2312" w:eastAsia="仿宋_GB2312"/>
          <w:sz w:val="32"/>
          <w:szCs w:val="32"/>
        </w:rPr>
        <w:t>元（中）、每棵</w:t>
      </w:r>
      <w:r>
        <w:rPr>
          <w:rFonts w:ascii="仿宋_GB2312" w:eastAsia="仿宋_GB2312"/>
          <w:sz w:val="32"/>
          <w:szCs w:val="32"/>
        </w:rPr>
        <w:t>30</w:t>
      </w:r>
      <w:r>
        <w:rPr>
          <w:rFonts w:hint="eastAsia" w:ascii="仿宋_GB2312" w:eastAsia="仿宋_GB2312"/>
          <w:sz w:val="32"/>
          <w:szCs w:val="32"/>
        </w:rPr>
        <w:t>元（大）；</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五</w:t>
      </w:r>
      <w:r>
        <w:rPr>
          <w:rFonts w:hint="eastAsia" w:ascii="仿宋_GB2312" w:eastAsia="仿宋_GB2312"/>
          <w:sz w:val="32"/>
          <w:szCs w:val="32"/>
          <w:lang w:eastAsia="zh-CN"/>
        </w:rPr>
        <w:t>）</w:t>
      </w:r>
      <w:r>
        <w:rPr>
          <w:rFonts w:hint="eastAsia" w:ascii="仿宋_GB2312" w:eastAsia="仿宋_GB2312"/>
          <w:sz w:val="32"/>
          <w:szCs w:val="32"/>
        </w:rPr>
        <w:t>零星杉树、茶籽树、茶叶树比松杂木增加一倍；</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六</w:t>
      </w:r>
      <w:r>
        <w:rPr>
          <w:rFonts w:hint="eastAsia" w:ascii="仿宋_GB2312" w:eastAsia="仿宋_GB2312"/>
          <w:sz w:val="32"/>
          <w:szCs w:val="32"/>
          <w:lang w:eastAsia="zh-CN"/>
        </w:rPr>
        <w:t>）</w:t>
      </w:r>
      <w:r>
        <w:rPr>
          <w:rFonts w:hint="eastAsia" w:ascii="仿宋_GB2312" w:eastAsia="仿宋_GB2312"/>
          <w:sz w:val="32"/>
          <w:szCs w:val="32"/>
        </w:rPr>
        <w:t>种植或养殖了经济价值较高的林木、果木和水产品种等特殊情况的，由县自然资源局按规定招标有关中介机构进行评估，经县财政局、工程指挥部、自然资源局、林业局等有关部门审核后，报县政府批准后予以补偿</w:t>
      </w:r>
      <w:r>
        <w:rPr>
          <w:rFonts w:hint="eastAsia" w:ascii="仿宋_GB2312" w:eastAsia="仿宋_GB2312"/>
          <w:sz w:val="32"/>
          <w:szCs w:val="32"/>
          <w:lang w:val="en-US" w:eastAsia="zh-CN"/>
        </w:rPr>
        <w:t>；</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七</w:t>
      </w:r>
      <w:r>
        <w:rPr>
          <w:rFonts w:hint="eastAsia" w:ascii="仿宋_GB2312" w:eastAsia="仿宋_GB2312"/>
          <w:sz w:val="32"/>
          <w:szCs w:val="32"/>
          <w:lang w:eastAsia="zh-CN"/>
        </w:rPr>
        <w:t>）</w:t>
      </w:r>
      <w:r>
        <w:rPr>
          <w:rFonts w:hint="eastAsia" w:ascii="仿宋_GB2312" w:eastAsia="仿宋_GB2312"/>
          <w:sz w:val="32"/>
          <w:szCs w:val="32"/>
        </w:rPr>
        <w:t>电力、电讯杆线迁移补偿价格与各相关产权单位协商确定。</w:t>
      </w:r>
    </w:p>
    <w:p>
      <w:pPr>
        <w:keepNext w:val="0"/>
        <w:keepLines w:val="0"/>
        <w:pageBreakBefore w:val="0"/>
        <w:kinsoku/>
        <w:wordWrap/>
        <w:overflowPunct/>
        <w:topLinePunct w:val="0"/>
        <w:autoSpaceDE/>
        <w:autoSpaceDN/>
        <w:bidi w:val="0"/>
        <w:adjustRightInd/>
        <w:snapToGrid/>
        <w:spacing w:line="400" w:lineRule="exact"/>
        <w:ind w:firstLine="643" w:firstLineChars="200"/>
        <w:contextualSpacing/>
        <w:textAlignment w:val="auto"/>
        <w:rPr>
          <w:rFonts w:ascii="黑体" w:hAnsi="黑体" w:eastAsia="黑体"/>
          <w:b/>
          <w:sz w:val="32"/>
          <w:szCs w:val="32"/>
          <w:lang w:val="en-US" w:eastAsia="zh-CN"/>
        </w:rPr>
      </w:pPr>
      <w:r>
        <w:rPr>
          <w:rFonts w:hint="eastAsia" w:ascii="黑体" w:hAnsi="黑体" w:eastAsia="黑体"/>
          <w:b/>
          <w:sz w:val="32"/>
          <w:szCs w:val="32"/>
          <w:lang w:val="en-US" w:eastAsia="zh-CN"/>
        </w:rPr>
        <w:t>五、安置方式及养老保险安置政策</w:t>
      </w:r>
    </w:p>
    <w:p>
      <w:pPr>
        <w:keepNext w:val="0"/>
        <w:keepLines w:val="0"/>
        <w:pageBreakBefore w:val="0"/>
        <w:kinsoku/>
        <w:wordWrap/>
        <w:overflowPunct/>
        <w:topLinePunct w:val="0"/>
        <w:autoSpaceDE/>
        <w:autoSpaceDN/>
        <w:bidi w:val="0"/>
        <w:adjustRightInd/>
        <w:snapToGrid/>
        <w:spacing w:line="400" w:lineRule="exact"/>
        <w:ind w:firstLine="640" w:firstLineChars="200"/>
        <w:contextualSpacing/>
        <w:jc w:val="both"/>
        <w:textAlignment w:val="auto"/>
        <w:rPr>
          <w:rFonts w:ascii="仿宋_GB2312" w:eastAsia="仿宋_GB2312"/>
          <w:sz w:val="32"/>
          <w:szCs w:val="32"/>
          <w:lang w:val="en-US" w:eastAsia="zh-CN"/>
        </w:rPr>
      </w:pPr>
      <w:r>
        <w:rPr>
          <w:rFonts w:hint="eastAsia" w:ascii="仿宋_GB2312" w:eastAsia="仿宋_GB2312"/>
          <w:sz w:val="32"/>
          <w:szCs w:val="32"/>
          <w:lang w:val="en-US" w:eastAsia="zh-CN"/>
        </w:rPr>
        <w:t>安置办法:</w:t>
      </w:r>
      <w:r>
        <w:rPr>
          <w:rFonts w:hint="eastAsia" w:ascii="仿宋_GB2312" w:eastAsia="仿宋_GB2312"/>
          <w:sz w:val="32"/>
          <w:szCs w:val="32"/>
          <w:highlight w:val="none"/>
        </w:rPr>
        <w:t xml:space="preserve"> 采取货币</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养老保险</w:t>
      </w:r>
      <w:r>
        <w:rPr>
          <w:rFonts w:hint="eastAsia" w:ascii="仿宋_GB2312" w:eastAsia="仿宋_GB2312"/>
          <w:sz w:val="32"/>
          <w:szCs w:val="32"/>
          <w:highlight w:val="none"/>
        </w:rPr>
        <w:t>的方式安置</w:t>
      </w:r>
      <w:r>
        <w:rPr>
          <w:rFonts w:hint="eastAsia" w:ascii="仿宋_GB2312" w:eastAsia="仿宋_GB2312"/>
          <w:sz w:val="32"/>
          <w:szCs w:val="32"/>
          <w:lang w:val="en-US" w:eastAsia="zh-CN"/>
        </w:rPr>
        <w:t>。</w:t>
      </w:r>
    </w:p>
    <w:p>
      <w:pPr>
        <w:keepNext w:val="0"/>
        <w:keepLines w:val="0"/>
        <w:pageBreakBefore w:val="0"/>
        <w:kinsoku/>
        <w:wordWrap/>
        <w:overflowPunct/>
        <w:topLinePunct w:val="0"/>
        <w:autoSpaceDE/>
        <w:autoSpaceDN/>
        <w:bidi w:val="0"/>
        <w:adjustRightInd/>
        <w:snapToGrid/>
        <w:spacing w:line="400" w:lineRule="exact"/>
        <w:ind w:firstLine="640" w:firstLineChars="200"/>
        <w:contextualSpacing/>
        <w:jc w:val="both"/>
        <w:textAlignment w:val="auto"/>
        <w:rPr>
          <w:rFonts w:hint="eastAsia" w:ascii="仿宋_GB2312" w:hAnsi="Times New Roman" w:eastAsia="仿宋_GB2312" w:cs="Times New Roman"/>
          <w:color w:val="auto"/>
          <w:kern w:val="2"/>
          <w:sz w:val="32"/>
          <w:szCs w:val="32"/>
          <w:lang w:val="en-US" w:eastAsia="zh-CN"/>
        </w:rPr>
      </w:pPr>
      <w:r>
        <w:rPr>
          <w:rFonts w:hint="eastAsia" w:ascii="仿宋_GB2312" w:hAnsi="Times New Roman" w:eastAsia="仿宋_GB2312" w:cs="Times New Roman"/>
          <w:color w:val="auto"/>
          <w:kern w:val="2"/>
          <w:sz w:val="32"/>
          <w:szCs w:val="32"/>
          <w:lang w:val="en-US" w:eastAsia="zh-CN"/>
        </w:rPr>
        <w:t>根据省政府办公厅转发省人社厅《关于进一步完善被征地农民基本养老保险政策意见的通知》（赣府厅发〔2014〕12号）和《江西省人民政府关于公布全省征地区片综合地价的通知》（赣府字〔2020〕9号）《关于印发上饶市被征地农民基本养老保险实施办法的通知》（饶府厅发〔2015〕4号）等文件精神，拟按8000元/亩的标准预存社保资金，用地报批前存入县社保局社保资金专户。用地批准后，由当地劳动保障部门按有关规定要求将符合条件的被征地农民纳入社会保障体系。</w:t>
      </w:r>
    </w:p>
    <w:p>
      <w:pPr>
        <w:keepNext w:val="0"/>
        <w:keepLines w:val="0"/>
        <w:pageBreakBefore w:val="0"/>
        <w:widowControl/>
        <w:kinsoku/>
        <w:wordWrap/>
        <w:overflowPunct/>
        <w:topLinePunct w:val="0"/>
        <w:autoSpaceDE/>
        <w:autoSpaceDN/>
        <w:bidi w:val="0"/>
        <w:adjustRightInd/>
        <w:snapToGrid/>
        <w:spacing w:line="400" w:lineRule="exact"/>
        <w:ind w:firstLine="643" w:firstLineChars="200"/>
        <w:contextualSpacing/>
        <w:textAlignment w:val="auto"/>
        <w:rPr>
          <w:rFonts w:ascii="黑体" w:hAnsi="黑体" w:eastAsia="黑体" w:cs="Times New Roman"/>
          <w:b/>
          <w:color w:val="auto"/>
          <w:kern w:val="2"/>
          <w:sz w:val="32"/>
          <w:szCs w:val="32"/>
          <w:lang w:val="en-US" w:eastAsia="zh-CN"/>
        </w:rPr>
      </w:pPr>
      <w:r>
        <w:rPr>
          <w:rFonts w:hint="eastAsia" w:ascii="黑体" w:hAnsi="黑体" w:eastAsia="黑体" w:cs="Times New Roman"/>
          <w:b/>
          <w:color w:val="auto"/>
          <w:kern w:val="2"/>
          <w:sz w:val="32"/>
          <w:szCs w:val="32"/>
          <w:lang w:val="en-US" w:eastAsia="zh-CN"/>
        </w:rPr>
        <w:t>六、补偿登记</w:t>
      </w:r>
    </w:p>
    <w:p>
      <w:pPr>
        <w:keepNext w:val="0"/>
        <w:keepLines w:val="0"/>
        <w:pageBreakBefore w:val="0"/>
        <w:kinsoku/>
        <w:wordWrap/>
        <w:overflowPunct/>
        <w:topLinePunct w:val="0"/>
        <w:autoSpaceDE/>
        <w:autoSpaceDN/>
        <w:bidi w:val="0"/>
        <w:adjustRightInd/>
        <w:snapToGrid/>
        <w:spacing w:line="400" w:lineRule="exact"/>
        <w:contextualSpacing/>
        <w:jc w:val="both"/>
        <w:textAlignment w:val="auto"/>
        <w:rPr>
          <w:rFonts w:ascii="仿宋_GB2312" w:eastAsia="仿宋_GB2312"/>
          <w:sz w:val="32"/>
          <w:szCs w:val="32"/>
          <w:lang w:val="en-US" w:eastAsia="zh-CN"/>
        </w:rPr>
      </w:pPr>
      <w:r>
        <w:rPr>
          <w:rFonts w:hint="eastAsia" w:ascii="仿宋_GB2312" w:eastAsia="仿宋_GB2312"/>
          <w:sz w:val="32"/>
          <w:szCs w:val="32"/>
          <w:lang w:val="en-US" w:eastAsia="zh-CN"/>
        </w:rPr>
        <w:t xml:space="preserve">    拟征收土地的所用权人、使用权人应当在公告规定期限内，持不动产权属证明材料到自然资源管理部门</w:t>
      </w:r>
      <w:r>
        <w:rPr>
          <w:rFonts w:hint="eastAsia" w:ascii="仿宋_GB2312" w:eastAsia="仿宋_GB2312"/>
          <w:sz w:val="32"/>
          <w:szCs w:val="32"/>
        </w:rPr>
        <w:t>或</w:t>
      </w:r>
      <w:r>
        <w:rPr>
          <w:rFonts w:hint="eastAsia" w:ascii="仿宋_GB2312" w:eastAsia="仿宋_GB2312"/>
          <w:sz w:val="32"/>
          <w:szCs w:val="32"/>
          <w:lang w:val="en-US" w:eastAsia="zh-CN"/>
        </w:rPr>
        <w:t>鄱阳镇人民</w:t>
      </w:r>
      <w:r>
        <w:rPr>
          <w:rFonts w:hint="eastAsia" w:ascii="仿宋_GB2312" w:eastAsia="仿宋_GB2312"/>
          <w:sz w:val="32"/>
          <w:szCs w:val="32"/>
        </w:rPr>
        <w:t>政府</w:t>
      </w:r>
      <w:r>
        <w:rPr>
          <w:rFonts w:hint="eastAsia" w:ascii="仿宋_GB2312" w:eastAsia="仿宋_GB2312"/>
          <w:sz w:val="32"/>
          <w:szCs w:val="32"/>
          <w:lang w:val="en-US" w:eastAsia="zh-CN"/>
        </w:rPr>
        <w:t>办理补偿登记手续。</w:t>
      </w:r>
    </w:p>
    <w:p>
      <w:pPr>
        <w:keepNext w:val="0"/>
        <w:keepLines w:val="0"/>
        <w:pageBreakBefore w:val="0"/>
        <w:widowControl/>
        <w:kinsoku/>
        <w:wordWrap/>
        <w:overflowPunct/>
        <w:topLinePunct w:val="0"/>
        <w:autoSpaceDE/>
        <w:autoSpaceDN/>
        <w:bidi w:val="0"/>
        <w:adjustRightInd/>
        <w:snapToGrid/>
        <w:spacing w:line="400" w:lineRule="exact"/>
        <w:ind w:firstLine="643" w:firstLineChars="200"/>
        <w:contextualSpacing/>
        <w:textAlignment w:val="auto"/>
        <w:rPr>
          <w:rFonts w:ascii="黑体" w:hAnsi="黑体" w:eastAsia="黑体" w:cs="Times New Roman"/>
          <w:b/>
          <w:color w:val="auto"/>
          <w:kern w:val="2"/>
          <w:sz w:val="32"/>
          <w:szCs w:val="32"/>
          <w:lang w:val="en-US" w:eastAsia="zh-CN"/>
        </w:rPr>
      </w:pPr>
      <w:r>
        <w:rPr>
          <w:rFonts w:hint="eastAsia" w:ascii="黑体" w:hAnsi="黑体" w:eastAsia="黑体" w:cs="Times New Roman"/>
          <w:b/>
          <w:color w:val="auto"/>
          <w:kern w:val="2"/>
          <w:sz w:val="32"/>
          <w:szCs w:val="32"/>
          <w:lang w:val="en-US" w:eastAsia="zh-CN"/>
        </w:rPr>
        <w:t>七、告知期限</w:t>
      </w:r>
    </w:p>
    <w:p>
      <w:pPr>
        <w:keepNext w:val="0"/>
        <w:keepLines w:val="0"/>
        <w:pageBreakBefore w:val="0"/>
        <w:kinsoku/>
        <w:wordWrap/>
        <w:overflowPunct/>
        <w:topLinePunct w:val="0"/>
        <w:autoSpaceDE/>
        <w:autoSpaceDN/>
        <w:bidi w:val="0"/>
        <w:adjustRightInd/>
        <w:snapToGrid/>
        <w:spacing w:line="400" w:lineRule="exact"/>
        <w:ind w:firstLine="640" w:firstLineChars="200"/>
        <w:contextualSpacing/>
        <w:textAlignment w:val="auto"/>
        <w:rPr>
          <w:rFonts w:ascii="仿宋_GB2312" w:eastAsia="仿宋_GB2312"/>
          <w:sz w:val="32"/>
          <w:szCs w:val="32"/>
        </w:rPr>
      </w:pPr>
      <w:r>
        <w:rPr>
          <w:rFonts w:hint="eastAsia" w:ascii="仿宋_GB2312" w:hAnsi="Times New Roman" w:eastAsia="仿宋_GB2312" w:cs="Times New Roman"/>
          <w:color w:val="auto"/>
          <w:kern w:val="2"/>
          <w:sz w:val="32"/>
          <w:szCs w:val="32"/>
          <w:lang w:val="en-US" w:eastAsia="zh-CN"/>
        </w:rPr>
        <w:t>本公告期限自2021年10月26日至2021年11月24日。</w:t>
      </w:r>
    </w:p>
    <w:p>
      <w:pPr>
        <w:keepNext w:val="0"/>
        <w:keepLines w:val="0"/>
        <w:pageBreakBefore w:val="0"/>
        <w:widowControl/>
        <w:kinsoku/>
        <w:wordWrap/>
        <w:overflowPunct/>
        <w:topLinePunct w:val="0"/>
        <w:autoSpaceDE/>
        <w:autoSpaceDN/>
        <w:bidi w:val="0"/>
        <w:adjustRightInd/>
        <w:snapToGrid/>
        <w:spacing w:line="400" w:lineRule="exact"/>
        <w:ind w:firstLine="643" w:firstLineChars="200"/>
        <w:contextualSpacing/>
        <w:textAlignment w:val="auto"/>
        <w:rPr>
          <w:rFonts w:ascii="黑体" w:hAnsi="黑体" w:eastAsia="黑体" w:cs="Times New Roman"/>
          <w:b/>
          <w:color w:val="auto"/>
          <w:kern w:val="2"/>
          <w:sz w:val="32"/>
          <w:szCs w:val="32"/>
          <w:lang w:val="en-US" w:eastAsia="zh-CN"/>
        </w:rPr>
      </w:pPr>
      <w:r>
        <w:rPr>
          <w:rFonts w:hint="eastAsia" w:ascii="黑体" w:hAnsi="黑体" w:eastAsia="黑体" w:cs="Times New Roman"/>
          <w:b/>
          <w:color w:val="auto"/>
          <w:kern w:val="2"/>
          <w:sz w:val="32"/>
          <w:szCs w:val="32"/>
          <w:lang w:val="en-US" w:eastAsia="zh-CN"/>
        </w:rPr>
        <w:t>八、其他事项</w:t>
      </w:r>
    </w:p>
    <w:p>
      <w:pPr>
        <w:keepNext w:val="0"/>
        <w:keepLines w:val="0"/>
        <w:pageBreakBefore w:val="0"/>
        <w:kinsoku/>
        <w:wordWrap/>
        <w:overflowPunct/>
        <w:topLinePunct w:val="0"/>
        <w:autoSpaceDE/>
        <w:autoSpaceDN/>
        <w:bidi w:val="0"/>
        <w:adjustRightInd/>
        <w:snapToGrid/>
        <w:spacing w:line="400" w:lineRule="exact"/>
        <w:ind w:firstLine="640" w:firstLineChars="200"/>
        <w:contextualSpacing/>
        <w:jc w:val="both"/>
        <w:textAlignment w:val="auto"/>
        <w:rPr>
          <w:rFonts w:ascii="仿宋_GB2312" w:hAnsi="Times New Roman" w:eastAsia="仿宋_GB2312" w:cs="Times New Roman"/>
          <w:color w:val="auto"/>
          <w:kern w:val="2"/>
          <w:sz w:val="32"/>
          <w:szCs w:val="32"/>
        </w:rPr>
      </w:pPr>
      <w:r>
        <w:rPr>
          <w:rFonts w:hint="eastAsia" w:ascii="仿宋_GB2312" w:hAnsi="Times New Roman" w:eastAsia="仿宋_GB2312" w:cs="Times New Roman"/>
          <w:color w:val="auto"/>
          <w:kern w:val="2"/>
          <w:sz w:val="32"/>
          <w:szCs w:val="32"/>
          <w:lang w:val="en-US" w:eastAsia="zh-CN"/>
        </w:rPr>
        <w:t>被征地的农村集体经济组织和农户对征收土地的补偿标准和安置途径有申请听证的权利。对本方案有异议的，按照《自然资源听证规定》的规定，应在10个工作日内提出听证书面申请，由自然资源局按规定组织听证。逾期未提出的，按放弃听证办理。</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lang w:val="en-US" w:eastAsia="zh-CN"/>
        </w:rPr>
      </w:pPr>
      <w:r>
        <w:rPr>
          <w:rFonts w:hint="eastAsia" w:ascii="仿宋_GB2312" w:eastAsia="仿宋_GB2312"/>
          <w:sz w:val="32"/>
          <w:szCs w:val="32"/>
          <w:lang w:val="en-US" w:eastAsia="zh-CN"/>
        </w:rPr>
        <w:t>联系单位、联系地点及联系人：</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ascii="仿宋_GB2312" w:eastAsia="仿宋_GB2312"/>
          <w:sz w:val="32"/>
          <w:szCs w:val="32"/>
          <w:lang w:val="en-US" w:eastAsia="zh-CN"/>
        </w:rPr>
      </w:pPr>
      <w:r>
        <w:rPr>
          <w:rFonts w:hint="eastAsia" w:ascii="仿宋_GB2312" w:eastAsia="仿宋_GB2312"/>
          <w:sz w:val="32"/>
          <w:szCs w:val="32"/>
        </w:rPr>
        <w:t>鄱阳县自然资源局</w:t>
      </w:r>
      <w:r>
        <w:rPr>
          <w:rFonts w:hint="eastAsia" w:ascii="仿宋_GB2312" w:eastAsia="仿宋_GB2312"/>
          <w:sz w:val="32"/>
          <w:szCs w:val="32"/>
          <w:lang w:val="en-US" w:eastAsia="zh-CN"/>
        </w:rPr>
        <w:t xml:space="preserve">   许金顺  13979332358</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鄱阳镇人民政府     林大华  13970326816       </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仿宋_GB2312" w:eastAsia="仿宋_GB2312"/>
          <w:sz w:val="32"/>
          <w:szCs w:val="32"/>
          <w:lang w:val="en-US" w:eastAsia="zh-CN"/>
        </w:rPr>
      </w:pPr>
    </w:p>
    <w:p>
      <w:pPr>
        <w:spacing w:line="400" w:lineRule="exact"/>
        <w:ind w:left="2234" w:leftChars="931"/>
        <w:contextualSpacing/>
        <w:rPr>
          <w:rFonts w:ascii="仿宋_GB2312" w:hAnsi="Times New Roman" w:eastAsia="仿宋_GB2312" w:cs="Times New Roman"/>
          <w:color w:val="auto"/>
          <w:kern w:val="2"/>
          <w:sz w:val="32"/>
          <w:szCs w:val="32"/>
          <w:lang w:val="en-US" w:eastAsia="zh-CN"/>
        </w:rPr>
      </w:pPr>
      <w:r>
        <w:rPr>
          <w:rFonts w:hint="eastAsia" w:ascii="仿宋_GB2312" w:hAnsi="Times New Roman" w:eastAsia="仿宋_GB2312" w:cs="Times New Roman"/>
          <w:color w:val="auto"/>
          <w:kern w:val="2"/>
          <w:sz w:val="32"/>
          <w:szCs w:val="32"/>
          <w:lang w:val="en-US" w:eastAsia="zh-CN"/>
        </w:rPr>
        <w:t xml:space="preserve">                                          二〇二一年十月二十六日</w:t>
      </w:r>
    </w:p>
    <w:sectPr>
      <w:pgSz w:w="16838" w:h="23811"/>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_HKSCS">
    <w:altName w:val="Microsoft JhengHei"/>
    <w:panose1 w:val="00000000000000000000"/>
    <w:charset w:val="88"/>
    <w:family w:val="roman"/>
    <w:pitch w:val="default"/>
    <w:sig w:usb0="00000000" w:usb1="00000000" w:usb2="00000016" w:usb3="00000000" w:csb0="00100001" w:csb1="00000000"/>
  </w:font>
  <w:font w:name="Microsoft JhengHei">
    <w:panose1 w:val="020B0604030504040204"/>
    <w:charset w:val="88"/>
    <w:family w:val="auto"/>
    <w:pitch w:val="default"/>
    <w:sig w:usb0="000002A7" w:usb1="28CF4400" w:usb2="00000016" w:usb3="00000000" w:csb0="00100009" w:csb1="00000000"/>
  </w:font>
  <w:font w:name="MingLiU">
    <w:altName w:val="Microsoft JhengHei UI"/>
    <w:panose1 w:val="02010609000101010101"/>
    <w:charset w:val="88"/>
    <w:family w:val="moder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方正大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2E1"/>
    <w:rsid w:val="00054741"/>
    <w:rsid w:val="000839FF"/>
    <w:rsid w:val="00085084"/>
    <w:rsid w:val="000955BD"/>
    <w:rsid w:val="00103B7B"/>
    <w:rsid w:val="00132263"/>
    <w:rsid w:val="00163FBE"/>
    <w:rsid w:val="001E6603"/>
    <w:rsid w:val="001F3452"/>
    <w:rsid w:val="002B182C"/>
    <w:rsid w:val="002C7184"/>
    <w:rsid w:val="00326250"/>
    <w:rsid w:val="00357830"/>
    <w:rsid w:val="0036361B"/>
    <w:rsid w:val="00384C1C"/>
    <w:rsid w:val="00412CF0"/>
    <w:rsid w:val="004A052C"/>
    <w:rsid w:val="004C5620"/>
    <w:rsid w:val="00501ACF"/>
    <w:rsid w:val="00522F4C"/>
    <w:rsid w:val="00693F3C"/>
    <w:rsid w:val="006E2E61"/>
    <w:rsid w:val="0076334F"/>
    <w:rsid w:val="00780515"/>
    <w:rsid w:val="007A4813"/>
    <w:rsid w:val="007B0394"/>
    <w:rsid w:val="007F395E"/>
    <w:rsid w:val="008D1316"/>
    <w:rsid w:val="0091779C"/>
    <w:rsid w:val="00920CD2"/>
    <w:rsid w:val="009A42E1"/>
    <w:rsid w:val="009F40C3"/>
    <w:rsid w:val="00AB1165"/>
    <w:rsid w:val="00B144F3"/>
    <w:rsid w:val="00B84A19"/>
    <w:rsid w:val="00BB53F8"/>
    <w:rsid w:val="00D920F6"/>
    <w:rsid w:val="00DD3539"/>
    <w:rsid w:val="00E06638"/>
    <w:rsid w:val="00F425F1"/>
    <w:rsid w:val="00FE68B0"/>
    <w:rsid w:val="01AF1364"/>
    <w:rsid w:val="01D3241E"/>
    <w:rsid w:val="024128DD"/>
    <w:rsid w:val="05430C81"/>
    <w:rsid w:val="05B70EA9"/>
    <w:rsid w:val="079D3A37"/>
    <w:rsid w:val="08711E33"/>
    <w:rsid w:val="09E733C9"/>
    <w:rsid w:val="0ADB304D"/>
    <w:rsid w:val="0B13040A"/>
    <w:rsid w:val="0C1A66EC"/>
    <w:rsid w:val="0CB64FB1"/>
    <w:rsid w:val="0CE0218B"/>
    <w:rsid w:val="0D1529B4"/>
    <w:rsid w:val="0D470EB4"/>
    <w:rsid w:val="0D603F78"/>
    <w:rsid w:val="0D627B53"/>
    <w:rsid w:val="0D7A6219"/>
    <w:rsid w:val="0DA26E0A"/>
    <w:rsid w:val="0E2558DA"/>
    <w:rsid w:val="0E6A5A10"/>
    <w:rsid w:val="0EDD0173"/>
    <w:rsid w:val="11B94C9B"/>
    <w:rsid w:val="11D67161"/>
    <w:rsid w:val="120A306E"/>
    <w:rsid w:val="13017CE5"/>
    <w:rsid w:val="14616610"/>
    <w:rsid w:val="14ED145A"/>
    <w:rsid w:val="17B97E86"/>
    <w:rsid w:val="19137A36"/>
    <w:rsid w:val="19382054"/>
    <w:rsid w:val="195C70C9"/>
    <w:rsid w:val="198A2CB0"/>
    <w:rsid w:val="19DB2813"/>
    <w:rsid w:val="1AD63866"/>
    <w:rsid w:val="1AE83FD9"/>
    <w:rsid w:val="1B153001"/>
    <w:rsid w:val="1B1A62B5"/>
    <w:rsid w:val="1C0925D0"/>
    <w:rsid w:val="1C450FBD"/>
    <w:rsid w:val="1C741CC1"/>
    <w:rsid w:val="1CD43D30"/>
    <w:rsid w:val="1D6E1FE3"/>
    <w:rsid w:val="1F0F1D29"/>
    <w:rsid w:val="1F2337CC"/>
    <w:rsid w:val="1FCC06EF"/>
    <w:rsid w:val="1FCE5084"/>
    <w:rsid w:val="1FDD4887"/>
    <w:rsid w:val="207F5A1B"/>
    <w:rsid w:val="21A13790"/>
    <w:rsid w:val="243F258E"/>
    <w:rsid w:val="2444722E"/>
    <w:rsid w:val="26576D15"/>
    <w:rsid w:val="265B0AD0"/>
    <w:rsid w:val="266A440B"/>
    <w:rsid w:val="2A3A3801"/>
    <w:rsid w:val="2AB66EC3"/>
    <w:rsid w:val="2B361ED9"/>
    <w:rsid w:val="2B5F771F"/>
    <w:rsid w:val="2BFE2989"/>
    <w:rsid w:val="2C322202"/>
    <w:rsid w:val="2DB26C51"/>
    <w:rsid w:val="2E8A7EC9"/>
    <w:rsid w:val="2F2325C5"/>
    <w:rsid w:val="2F4710CA"/>
    <w:rsid w:val="2FC82638"/>
    <w:rsid w:val="30F91066"/>
    <w:rsid w:val="316C0070"/>
    <w:rsid w:val="31CD4566"/>
    <w:rsid w:val="31FF72FA"/>
    <w:rsid w:val="32594D5F"/>
    <w:rsid w:val="32921194"/>
    <w:rsid w:val="32FA00EA"/>
    <w:rsid w:val="33AA5D8E"/>
    <w:rsid w:val="344374DA"/>
    <w:rsid w:val="347244AB"/>
    <w:rsid w:val="354808D9"/>
    <w:rsid w:val="35916B7E"/>
    <w:rsid w:val="364629E1"/>
    <w:rsid w:val="36A766C1"/>
    <w:rsid w:val="36F0511F"/>
    <w:rsid w:val="37216673"/>
    <w:rsid w:val="37444AF0"/>
    <w:rsid w:val="379A7CEC"/>
    <w:rsid w:val="37B8571F"/>
    <w:rsid w:val="38234470"/>
    <w:rsid w:val="390E49DC"/>
    <w:rsid w:val="39DB5A55"/>
    <w:rsid w:val="3A09788D"/>
    <w:rsid w:val="3BB6509B"/>
    <w:rsid w:val="3BC408A7"/>
    <w:rsid w:val="3C5A487D"/>
    <w:rsid w:val="3CD53FF3"/>
    <w:rsid w:val="3D2E3022"/>
    <w:rsid w:val="3E780D33"/>
    <w:rsid w:val="402560B7"/>
    <w:rsid w:val="41D36234"/>
    <w:rsid w:val="41DF7D62"/>
    <w:rsid w:val="4266213C"/>
    <w:rsid w:val="437F4581"/>
    <w:rsid w:val="43930C31"/>
    <w:rsid w:val="44174622"/>
    <w:rsid w:val="453D5AC0"/>
    <w:rsid w:val="46B80281"/>
    <w:rsid w:val="471A4E7C"/>
    <w:rsid w:val="47FF0A9A"/>
    <w:rsid w:val="485D026A"/>
    <w:rsid w:val="4AA31B14"/>
    <w:rsid w:val="4BDC3685"/>
    <w:rsid w:val="4BEF3D82"/>
    <w:rsid w:val="4C1A69B1"/>
    <w:rsid w:val="4CC65EC3"/>
    <w:rsid w:val="4E95485B"/>
    <w:rsid w:val="50501A27"/>
    <w:rsid w:val="533A1E23"/>
    <w:rsid w:val="53FB468A"/>
    <w:rsid w:val="5440424A"/>
    <w:rsid w:val="54AC096A"/>
    <w:rsid w:val="54EF2AD2"/>
    <w:rsid w:val="55225EDF"/>
    <w:rsid w:val="55701C63"/>
    <w:rsid w:val="55AE5936"/>
    <w:rsid w:val="560B520A"/>
    <w:rsid w:val="567915FB"/>
    <w:rsid w:val="57560EC5"/>
    <w:rsid w:val="58DA7B3F"/>
    <w:rsid w:val="590C2419"/>
    <w:rsid w:val="59B55A9F"/>
    <w:rsid w:val="59FB5197"/>
    <w:rsid w:val="5A0242A1"/>
    <w:rsid w:val="5A715EE5"/>
    <w:rsid w:val="5B3E6C4B"/>
    <w:rsid w:val="5B553E66"/>
    <w:rsid w:val="5B81699E"/>
    <w:rsid w:val="5B9017E0"/>
    <w:rsid w:val="5BEA60AC"/>
    <w:rsid w:val="5C013DB6"/>
    <w:rsid w:val="5C0B0D88"/>
    <w:rsid w:val="5EB571FA"/>
    <w:rsid w:val="5EEC62EE"/>
    <w:rsid w:val="5F95093D"/>
    <w:rsid w:val="5FAB4278"/>
    <w:rsid w:val="5FE12C49"/>
    <w:rsid w:val="60F735A1"/>
    <w:rsid w:val="6235479C"/>
    <w:rsid w:val="629A24F4"/>
    <w:rsid w:val="64521627"/>
    <w:rsid w:val="647343A2"/>
    <w:rsid w:val="64804512"/>
    <w:rsid w:val="64AD7B0B"/>
    <w:rsid w:val="651B4602"/>
    <w:rsid w:val="655852F1"/>
    <w:rsid w:val="65A32DBE"/>
    <w:rsid w:val="668A52FE"/>
    <w:rsid w:val="68281AB1"/>
    <w:rsid w:val="692A6625"/>
    <w:rsid w:val="693665BD"/>
    <w:rsid w:val="69CA7D14"/>
    <w:rsid w:val="6A6A2B15"/>
    <w:rsid w:val="6B041860"/>
    <w:rsid w:val="6BDE0B0D"/>
    <w:rsid w:val="6C7023CE"/>
    <w:rsid w:val="6E072214"/>
    <w:rsid w:val="6E5F0697"/>
    <w:rsid w:val="6F3F50F5"/>
    <w:rsid w:val="6FBD7F5E"/>
    <w:rsid w:val="70F95910"/>
    <w:rsid w:val="712674B2"/>
    <w:rsid w:val="71CA38A2"/>
    <w:rsid w:val="72215097"/>
    <w:rsid w:val="72660191"/>
    <w:rsid w:val="72B042D3"/>
    <w:rsid w:val="744C160D"/>
    <w:rsid w:val="75177DD1"/>
    <w:rsid w:val="75AA7230"/>
    <w:rsid w:val="767B46B5"/>
    <w:rsid w:val="7848448F"/>
    <w:rsid w:val="79A06D4E"/>
    <w:rsid w:val="79DE4869"/>
    <w:rsid w:val="7A9F573F"/>
    <w:rsid w:val="7B234F3E"/>
    <w:rsid w:val="7B2E18BA"/>
    <w:rsid w:val="7B63071C"/>
    <w:rsid w:val="7BAE2D3F"/>
    <w:rsid w:val="7CB91585"/>
    <w:rsid w:val="7DC33C2F"/>
    <w:rsid w:val="7EB32B77"/>
    <w:rsid w:val="7EFF32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MingLiU_HKSCS" w:hAnsi="MingLiU_HKSCS" w:eastAsia="MingLiU_HKSCS" w:cs="MingLiU_HKSCS"/>
      <w:color w:val="000000"/>
      <w:sz w:val="24"/>
      <w:szCs w:val="24"/>
      <w:lang w:val="zh-TW" w:eastAsia="zh-TW"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7"/>
    <w:qFormat/>
    <w:uiPriority w:val="0"/>
    <w:rPr>
      <w:sz w:val="18"/>
      <w:szCs w:val="18"/>
    </w:rPr>
  </w:style>
  <w:style w:type="paragraph" w:styleId="3">
    <w:name w:val="footer"/>
    <w:basedOn w:val="1"/>
    <w:link w:val="16"/>
    <w:qFormat/>
    <w:uiPriority w:val="0"/>
    <w:pPr>
      <w:tabs>
        <w:tab w:val="center" w:pos="4153"/>
        <w:tab w:val="right" w:pos="8306"/>
      </w:tabs>
      <w:snapToGrid w:val="0"/>
    </w:pPr>
    <w:rPr>
      <w:sz w:val="18"/>
      <w:szCs w:val="18"/>
    </w:rPr>
  </w:style>
  <w:style w:type="paragraph" w:styleId="4">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pPr>
    <w:rPr>
      <w:rFonts w:ascii="宋体" w:hAnsi="宋体" w:eastAsia="宋体" w:cs="宋体"/>
      <w:color w:val="auto"/>
      <w:lang w:val="en-US" w:eastAsia="zh-CN"/>
    </w:rPr>
  </w:style>
  <w:style w:type="character" w:customStyle="1" w:styleId="8">
    <w:name w:val="正文文本 (2)1"/>
    <w:basedOn w:val="9"/>
    <w:qFormat/>
    <w:uiPriority w:val="99"/>
    <w:rPr>
      <w:rFonts w:ascii="MingLiU" w:hAnsi="MingLiU" w:eastAsia="MingLiU" w:cs="MingLiU"/>
      <w:color w:val="000000"/>
      <w:spacing w:val="20"/>
      <w:w w:val="100"/>
      <w:position w:val="0"/>
      <w:sz w:val="28"/>
      <w:szCs w:val="28"/>
      <w:u w:val="single"/>
      <w:lang w:val="zh-TW" w:eastAsia="zh-TW"/>
    </w:rPr>
  </w:style>
  <w:style w:type="character" w:customStyle="1" w:styleId="9">
    <w:name w:val="正文文本 (2)_"/>
    <w:basedOn w:val="7"/>
    <w:link w:val="10"/>
    <w:qFormat/>
    <w:locked/>
    <w:uiPriority w:val="99"/>
    <w:rPr>
      <w:rFonts w:ascii="MingLiU" w:hAnsi="MingLiU" w:eastAsia="MingLiU" w:cs="MingLiU"/>
      <w:spacing w:val="20"/>
      <w:sz w:val="28"/>
      <w:szCs w:val="28"/>
    </w:rPr>
  </w:style>
  <w:style w:type="paragraph" w:customStyle="1" w:styleId="10">
    <w:name w:val="正文文本 (2)4"/>
    <w:basedOn w:val="1"/>
    <w:link w:val="9"/>
    <w:qFormat/>
    <w:uiPriority w:val="99"/>
    <w:pPr>
      <w:shd w:val="clear" w:color="auto" w:fill="FFFFFF"/>
      <w:spacing w:before="8040" w:line="408" w:lineRule="exact"/>
      <w:ind w:hanging="1120"/>
      <w:jc w:val="center"/>
    </w:pPr>
    <w:rPr>
      <w:rFonts w:ascii="MingLiU" w:hAnsi="MingLiU" w:eastAsia="MingLiU" w:cs="MingLiU"/>
      <w:spacing w:val="20"/>
      <w:sz w:val="28"/>
      <w:szCs w:val="28"/>
    </w:rPr>
  </w:style>
  <w:style w:type="character" w:customStyle="1" w:styleId="11">
    <w:name w:val="正文文本 (2) + 15 pt"/>
    <w:basedOn w:val="9"/>
    <w:qFormat/>
    <w:uiPriority w:val="99"/>
    <w:rPr>
      <w:rFonts w:ascii="MingLiU" w:hAnsi="MingLiU" w:eastAsia="MingLiU" w:cs="MingLiU"/>
      <w:b/>
      <w:bCs/>
      <w:color w:val="000000"/>
      <w:spacing w:val="0"/>
      <w:w w:val="100"/>
      <w:position w:val="0"/>
      <w:sz w:val="30"/>
      <w:szCs w:val="30"/>
      <w:lang w:val="zh-TW" w:eastAsia="zh-TW"/>
    </w:rPr>
  </w:style>
  <w:style w:type="paragraph" w:customStyle="1" w:styleId="12">
    <w:name w:val="标题 #2"/>
    <w:basedOn w:val="1"/>
    <w:qFormat/>
    <w:uiPriority w:val="99"/>
    <w:pPr>
      <w:shd w:val="clear" w:color="auto" w:fill="FFFFFF"/>
      <w:spacing w:after="360" w:line="240" w:lineRule="atLeast"/>
      <w:jc w:val="distribute"/>
      <w:outlineLvl w:val="1"/>
    </w:pPr>
    <w:rPr>
      <w:rFonts w:ascii="MingLiU" w:hAnsi="MingLiU" w:eastAsia="MingLiU" w:cs="MingLiU"/>
      <w:sz w:val="38"/>
      <w:szCs w:val="38"/>
    </w:rPr>
  </w:style>
  <w:style w:type="paragraph" w:customStyle="1" w:styleId="13">
    <w:name w:val="正文文本 (5)1"/>
    <w:basedOn w:val="1"/>
    <w:qFormat/>
    <w:uiPriority w:val="99"/>
    <w:pPr>
      <w:shd w:val="clear" w:color="auto" w:fill="FFFFFF"/>
      <w:spacing w:line="499" w:lineRule="exact"/>
      <w:ind w:hanging="660"/>
      <w:jc w:val="distribute"/>
    </w:pPr>
    <w:rPr>
      <w:rFonts w:ascii="MingLiU" w:hAnsi="MingLiU" w:eastAsia="MingLiU" w:cs="MingLiU"/>
      <w:sz w:val="30"/>
      <w:szCs w:val="30"/>
    </w:rPr>
  </w:style>
  <w:style w:type="paragraph" w:customStyle="1" w:styleId="14">
    <w:name w:val="正文文本 (4)"/>
    <w:basedOn w:val="1"/>
    <w:qFormat/>
    <w:uiPriority w:val="99"/>
    <w:pPr>
      <w:shd w:val="clear" w:color="auto" w:fill="FFFFFF"/>
      <w:spacing w:after="180" w:line="240" w:lineRule="atLeast"/>
      <w:ind w:hanging="1720"/>
      <w:jc w:val="distribute"/>
    </w:pPr>
    <w:rPr>
      <w:rFonts w:ascii="MingLiU" w:hAnsi="MingLiU" w:eastAsia="MingLiU" w:cs="MingLiU"/>
      <w:b/>
      <w:bCs/>
      <w:sz w:val="30"/>
      <w:szCs w:val="30"/>
    </w:rPr>
  </w:style>
  <w:style w:type="character" w:customStyle="1" w:styleId="15">
    <w:name w:val="页眉 字符"/>
    <w:basedOn w:val="7"/>
    <w:link w:val="4"/>
    <w:qFormat/>
    <w:uiPriority w:val="0"/>
    <w:rPr>
      <w:rFonts w:ascii="MingLiU_HKSCS" w:hAnsi="MingLiU_HKSCS" w:eastAsia="MingLiU_HKSCS" w:cs="MingLiU_HKSCS"/>
      <w:color w:val="000000"/>
      <w:sz w:val="18"/>
      <w:szCs w:val="18"/>
      <w:lang w:val="zh-TW" w:eastAsia="zh-TW"/>
    </w:rPr>
  </w:style>
  <w:style w:type="character" w:customStyle="1" w:styleId="16">
    <w:name w:val="页脚 字符"/>
    <w:basedOn w:val="7"/>
    <w:link w:val="3"/>
    <w:qFormat/>
    <w:uiPriority w:val="0"/>
    <w:rPr>
      <w:rFonts w:ascii="MingLiU_HKSCS" w:hAnsi="MingLiU_HKSCS" w:eastAsia="MingLiU_HKSCS" w:cs="MingLiU_HKSCS"/>
      <w:color w:val="000000"/>
      <w:sz w:val="18"/>
      <w:szCs w:val="18"/>
      <w:lang w:val="zh-TW" w:eastAsia="zh-TW"/>
    </w:rPr>
  </w:style>
  <w:style w:type="character" w:customStyle="1" w:styleId="17">
    <w:name w:val="批注框文本 字符"/>
    <w:basedOn w:val="7"/>
    <w:link w:val="2"/>
    <w:qFormat/>
    <w:uiPriority w:val="0"/>
    <w:rPr>
      <w:rFonts w:ascii="MingLiU_HKSCS" w:hAnsi="MingLiU_HKSCS" w:eastAsia="MingLiU_HKSCS" w:cs="MingLiU_HKSCS"/>
      <w:color w:val="000000"/>
      <w:sz w:val="18"/>
      <w:szCs w:val="18"/>
      <w:lang w:val="zh-TW" w:eastAsia="zh-TW"/>
    </w:rPr>
  </w:style>
  <w:style w:type="paragraph" w:customStyle="1" w:styleId="18">
    <w:name w:val="msonormalcxspmiddle"/>
    <w:basedOn w:val="1"/>
    <w:qFormat/>
    <w:uiPriority w:val="0"/>
    <w:pPr>
      <w:widowControl/>
      <w:spacing w:before="100" w:beforeAutospacing="1" w:after="100" w:afterAutospacing="1"/>
    </w:pPr>
    <w:rPr>
      <w:rFonts w:ascii="宋体" w:hAnsi="宋体" w:cs="宋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213</Words>
  <Characters>1216</Characters>
  <Lines>10</Lines>
  <Paragraphs>2</Paragraphs>
  <TotalTime>0</TotalTime>
  <ScaleCrop>false</ScaleCrop>
  <LinksUpToDate>false</LinksUpToDate>
  <CharactersWithSpaces>1427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2021-02-12T16:15:00Z</dcterms:created>
  <dc:creator>Administrator</dc:creator>
  <cp:lastModifiedBy>LENOVO-</cp:lastModifiedBy>
  <cp:lastPrinted>2021-12-01T07:34:00Z</cp:lastPrinted>
  <dcterms:modified xsi:type="dcterms:W3CDTF">2021-12-01T08:13:25Z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49D70A7C1FC34E76ADA03D9CFA13B9FF</vt:lpwstr>
  </property>
</Properties>
</file>